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51315">
      <w:pPr>
        <w:spacing w:line="560" w:lineRule="exact"/>
        <w:ind w:right="794"/>
        <w:jc w:val="both"/>
        <w:rPr>
          <w:rFonts w:hint="eastAsia" w:ascii="黑体" w:hAnsi="黑体" w:eastAsia="黑体" w:cs="黑体"/>
          <w:color w:val="auto"/>
          <w:spacing w:val="-5"/>
          <w:sz w:val="32"/>
          <w:szCs w:val="32"/>
          <w:lang w:val="en-US" w:eastAsia="zh-CN"/>
        </w:rPr>
      </w:pPr>
    </w:p>
    <w:p w14:paraId="78CF9967">
      <w:pPr>
        <w:spacing w:line="560" w:lineRule="exact"/>
        <w:ind w:right="794"/>
        <w:jc w:val="both"/>
        <w:rPr>
          <w:rFonts w:hint="default" w:ascii="黑体" w:hAnsi="黑体" w:eastAsia="黑体" w:cs="黑体"/>
          <w:color w:val="auto"/>
          <w:spacing w:val="-5"/>
          <w:sz w:val="32"/>
          <w:szCs w:val="32"/>
          <w:lang w:val="en-US" w:eastAsia="zh-CN"/>
        </w:rPr>
      </w:pPr>
      <w:r>
        <w:rPr>
          <w:rFonts w:hint="eastAsia" w:ascii="黑体" w:hAnsi="黑体" w:eastAsia="黑体" w:cs="黑体"/>
          <w:color w:val="auto"/>
          <w:spacing w:val="-5"/>
          <w:sz w:val="32"/>
          <w:szCs w:val="32"/>
          <w:lang w:val="en-US" w:eastAsia="zh-CN"/>
        </w:rPr>
        <w:t>附件1</w:t>
      </w:r>
    </w:p>
    <w:p w14:paraId="4945C854">
      <w:pPr>
        <w:spacing w:line="560" w:lineRule="exact"/>
        <w:ind w:right="794"/>
        <w:jc w:val="both"/>
        <w:rPr>
          <w:rFonts w:hint="eastAsia" w:ascii="黑体" w:hAnsi="黑体" w:eastAsia="黑体" w:cs="黑体"/>
          <w:color w:val="auto"/>
          <w:spacing w:val="-5"/>
          <w:sz w:val="32"/>
          <w:szCs w:val="32"/>
          <w:lang w:val="en-US" w:eastAsia="zh-CN"/>
        </w:rPr>
      </w:pPr>
    </w:p>
    <w:p w14:paraId="67D62E42">
      <w:pPr>
        <w:spacing w:line="560" w:lineRule="exact"/>
        <w:ind w:left="3102" w:right="794" w:hanging="2478"/>
        <w:jc w:val="center"/>
        <w:rPr>
          <w:rFonts w:ascii="微软雅黑" w:hAnsi="微软雅黑" w:eastAsia="微软雅黑" w:cs="宋体"/>
          <w:color w:val="auto"/>
          <w:spacing w:val="8"/>
          <w:sz w:val="44"/>
          <w:szCs w:val="44"/>
        </w:rPr>
      </w:pPr>
      <w:r>
        <w:rPr>
          <w:rFonts w:hint="eastAsia" w:ascii="微软雅黑" w:hAnsi="微软雅黑" w:eastAsia="微软雅黑" w:cs="宋体"/>
          <w:color w:val="auto"/>
          <w:spacing w:val="-5"/>
          <w:sz w:val="44"/>
          <w:szCs w:val="44"/>
          <w:lang w:eastAsia="zh-CN"/>
        </w:rPr>
        <w:t>灌云</w:t>
      </w:r>
      <w:r>
        <w:rPr>
          <w:rFonts w:hint="eastAsia" w:ascii="微软雅黑" w:hAnsi="微软雅黑" w:eastAsia="微软雅黑" w:cs="宋体"/>
          <w:color w:val="auto"/>
          <w:spacing w:val="-5"/>
          <w:sz w:val="44"/>
          <w:szCs w:val="44"/>
        </w:rPr>
        <w:t>县</w:t>
      </w:r>
      <w:r>
        <w:rPr>
          <w:rFonts w:ascii="微软雅黑" w:hAnsi="微软雅黑" w:eastAsia="微软雅黑" w:cs="宋体"/>
          <w:color w:val="auto"/>
          <w:spacing w:val="-5"/>
          <w:sz w:val="44"/>
          <w:szCs w:val="44"/>
        </w:rPr>
        <w:t>行政事业性国有资产管理办法</w:t>
      </w:r>
    </w:p>
    <w:p w14:paraId="0F602CCE">
      <w:pPr>
        <w:snapToGrid w:val="0"/>
        <w:spacing w:line="560" w:lineRule="exact"/>
        <w:jc w:val="center"/>
        <w:rPr>
          <w:rFonts w:hint="eastAsia" w:ascii="Times New Roman" w:hAnsi="Times New Roman" w:eastAsia="楷体" w:cs="Times New Roman"/>
          <w:color w:val="auto"/>
          <w:sz w:val="32"/>
          <w:szCs w:val="32"/>
        </w:rPr>
      </w:pPr>
    </w:p>
    <w:p w14:paraId="3F24E64D">
      <w:pPr>
        <w:snapToGrid w:val="0"/>
        <w:spacing w:line="560" w:lineRule="exact"/>
        <w:jc w:val="center"/>
        <w:rPr>
          <w:rFonts w:hint="eastAsia" w:ascii="Times New Roman" w:hAnsi="Times New Roman" w:eastAsia="楷体" w:cs="Times New Roman"/>
          <w:color w:val="auto"/>
          <w:sz w:val="32"/>
          <w:szCs w:val="32"/>
        </w:rPr>
      </w:pPr>
      <w:r>
        <w:rPr>
          <w:rFonts w:hint="eastAsia" w:ascii="Times New Roman" w:hAnsi="Times New Roman" w:eastAsia="楷体" w:cs="Times New Roman"/>
          <w:color w:val="auto"/>
          <w:sz w:val="32"/>
          <w:szCs w:val="32"/>
        </w:rPr>
        <w:t>（</w:t>
      </w:r>
      <w:r>
        <w:rPr>
          <w:rFonts w:hint="eastAsia" w:ascii="Times New Roman" w:hAnsi="Times New Roman" w:eastAsia="楷体" w:cs="Times New Roman"/>
          <w:color w:val="auto"/>
          <w:sz w:val="32"/>
          <w:szCs w:val="32"/>
          <w:lang w:val="en-US" w:eastAsia="zh-CN"/>
        </w:rPr>
        <w:t>征求意见稿</w:t>
      </w:r>
      <w:r>
        <w:rPr>
          <w:rFonts w:hint="eastAsia" w:ascii="Times New Roman" w:hAnsi="Times New Roman" w:eastAsia="楷体" w:cs="Times New Roman"/>
          <w:color w:val="auto"/>
          <w:sz w:val="32"/>
          <w:szCs w:val="32"/>
        </w:rPr>
        <w:t>）</w:t>
      </w:r>
    </w:p>
    <w:p w14:paraId="2C60858F">
      <w:pPr>
        <w:spacing w:line="560" w:lineRule="exact"/>
        <w:ind w:left="624" w:right="794"/>
        <w:jc w:val="center"/>
        <w:rPr>
          <w:rFonts w:ascii="黑体" w:hAnsi="黑体" w:eastAsia="黑体" w:cs="宋体"/>
          <w:color w:val="auto"/>
          <w:spacing w:val="20"/>
          <w:sz w:val="32"/>
          <w:szCs w:val="32"/>
        </w:rPr>
      </w:pPr>
    </w:p>
    <w:p w14:paraId="66248D1F">
      <w:pPr>
        <w:spacing w:line="560" w:lineRule="exact"/>
        <w:ind w:left="624" w:right="794"/>
        <w:jc w:val="center"/>
        <w:rPr>
          <w:rFonts w:ascii="黑体" w:hAnsi="黑体" w:eastAsia="黑体" w:cs="宋体"/>
          <w:color w:val="auto"/>
          <w:spacing w:val="20"/>
          <w:sz w:val="32"/>
          <w:szCs w:val="32"/>
        </w:rPr>
      </w:pPr>
      <w:r>
        <w:rPr>
          <w:rFonts w:hint="eastAsia" w:ascii="黑体" w:hAnsi="黑体" w:eastAsia="黑体" w:cs="宋体"/>
          <w:color w:val="auto"/>
          <w:spacing w:val="20"/>
          <w:sz w:val="32"/>
          <w:szCs w:val="32"/>
        </w:rPr>
        <w:t>第一章 总  则</w:t>
      </w:r>
    </w:p>
    <w:p w14:paraId="7FF12564">
      <w:pPr>
        <w:spacing w:line="560" w:lineRule="exact"/>
        <w:ind w:left="624" w:right="794"/>
        <w:jc w:val="center"/>
        <w:rPr>
          <w:rFonts w:ascii="黑体" w:hAnsi="黑体" w:eastAsia="黑体" w:cs="宋体"/>
          <w:color w:val="auto"/>
          <w:spacing w:val="20"/>
          <w:sz w:val="32"/>
          <w:szCs w:val="32"/>
        </w:rPr>
      </w:pPr>
    </w:p>
    <w:p w14:paraId="3DBDCEC9">
      <w:pPr>
        <w:spacing w:line="560" w:lineRule="exact"/>
        <w:ind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 xml:space="preserve">第一条  </w:t>
      </w:r>
      <w:r>
        <w:rPr>
          <w:rFonts w:hint="eastAsia" w:ascii="仿宋_GB2312" w:hAnsi="仿宋" w:eastAsia="仿宋_GB2312" w:cs="仿宋"/>
          <w:color w:val="auto"/>
          <w:spacing w:val="2"/>
          <w:sz w:val="32"/>
          <w:szCs w:val="32"/>
        </w:rPr>
        <w:t>为了加强和规范行政事业性国有资产管理，健全行政事业性国有资产管理与监督体制机制，推进国有资产治理体系和治理能力现代化，根据《中华人民共和国预算法》《行政事业性国有资产管理条例》《江苏省行政事业性国有资产管理办法》等法律法规和有关规定，结合本县实际，制定本办法。</w:t>
      </w:r>
    </w:p>
    <w:p w14:paraId="41531A70">
      <w:pPr>
        <w:spacing w:line="560" w:lineRule="exact"/>
        <w:ind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 xml:space="preserve">第二条  </w:t>
      </w:r>
      <w:r>
        <w:rPr>
          <w:rFonts w:ascii="仿宋_GB2312" w:hAnsi="仿宋" w:eastAsia="仿宋_GB2312" w:cs="仿宋"/>
          <w:color w:val="auto"/>
          <w:spacing w:val="2"/>
          <w:sz w:val="32"/>
          <w:szCs w:val="32"/>
        </w:rPr>
        <w:t>本办法适用于</w:t>
      </w:r>
      <w:r>
        <w:rPr>
          <w:rFonts w:hint="eastAsia" w:ascii="仿宋_GB2312" w:hAnsi="仿宋" w:eastAsia="仿宋_GB2312" w:cs="仿宋"/>
          <w:color w:val="auto"/>
          <w:spacing w:val="2"/>
          <w:sz w:val="32"/>
          <w:szCs w:val="32"/>
        </w:rPr>
        <w:t>本县</w:t>
      </w:r>
      <w:r>
        <w:rPr>
          <w:rFonts w:ascii="仿宋_GB2312" w:hAnsi="仿宋" w:eastAsia="仿宋_GB2312" w:cs="仿宋"/>
          <w:color w:val="auto"/>
          <w:spacing w:val="2"/>
          <w:sz w:val="32"/>
          <w:szCs w:val="32"/>
        </w:rPr>
        <w:t>行政事业性国有资产配置</w:t>
      </w:r>
      <w:r>
        <w:rPr>
          <w:rFonts w:hint="eastAsia" w:ascii="仿宋_GB2312" w:hAnsi="仿宋" w:eastAsia="仿宋_GB2312" w:cs="仿宋"/>
          <w:color w:val="auto"/>
          <w:spacing w:val="2"/>
          <w:sz w:val="32"/>
          <w:szCs w:val="32"/>
        </w:rPr>
        <w:t>、使用、</w:t>
      </w:r>
      <w:r>
        <w:rPr>
          <w:rFonts w:ascii="仿宋_GB2312" w:hAnsi="仿宋" w:eastAsia="仿宋_GB2312" w:cs="仿宋"/>
          <w:color w:val="auto"/>
          <w:spacing w:val="2"/>
          <w:sz w:val="32"/>
          <w:szCs w:val="32"/>
        </w:rPr>
        <w:t>处置及其预算管理、基础管理、绩效管理、资产报告、监督检查等活动。</w:t>
      </w:r>
    </w:p>
    <w:p w14:paraId="6A9B605E">
      <w:pPr>
        <w:spacing w:line="560" w:lineRule="exact"/>
        <w:ind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 xml:space="preserve">第三条  </w:t>
      </w:r>
      <w:r>
        <w:rPr>
          <w:rFonts w:hint="eastAsia" w:ascii="仿宋_GB2312" w:hAnsi="仿宋" w:eastAsia="仿宋_GB2312" w:cs="仿宋"/>
          <w:color w:val="auto"/>
          <w:spacing w:val="2"/>
          <w:sz w:val="32"/>
          <w:szCs w:val="32"/>
        </w:rPr>
        <w:t>本办法所称行政事业性国有资产，是指行政事业单位通过以下方式形成或者取得的资产：</w:t>
      </w:r>
    </w:p>
    <w:p w14:paraId="6720186D">
      <w:pPr>
        <w:spacing w:line="560" w:lineRule="exact"/>
        <w:ind w:firstLine="648" w:firstLineChars="200"/>
        <w:rPr>
          <w:rFonts w:ascii="仿宋_GB2312" w:hAnsi="仿宋" w:eastAsia="仿宋_GB2312" w:cs="仿宋"/>
          <w:color w:val="auto"/>
          <w:spacing w:val="2"/>
          <w:sz w:val="32"/>
          <w:szCs w:val="32"/>
        </w:rPr>
      </w:pPr>
      <w:bookmarkStart w:id="0" w:name="_Hlk145406534"/>
      <w:r>
        <w:rPr>
          <w:rFonts w:hint="eastAsia" w:ascii="仿宋_GB2312" w:hAnsi="仿宋" w:eastAsia="仿宋_GB2312" w:cs="仿宋"/>
          <w:color w:val="auto"/>
          <w:spacing w:val="2"/>
          <w:sz w:val="32"/>
          <w:szCs w:val="32"/>
        </w:rPr>
        <w:t>（一）</w:t>
      </w:r>
      <w:bookmarkEnd w:id="0"/>
      <w:r>
        <w:rPr>
          <w:rFonts w:hint="eastAsia" w:ascii="仿宋_GB2312" w:hAnsi="仿宋" w:eastAsia="仿宋_GB2312" w:cs="仿宋"/>
          <w:color w:val="auto"/>
          <w:spacing w:val="2"/>
          <w:sz w:val="32"/>
          <w:szCs w:val="32"/>
        </w:rPr>
        <w:t>使用财政资金形成的资产；</w:t>
      </w:r>
    </w:p>
    <w:p w14:paraId="607ED82E">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（二）接受调拨或者划转、置换形成的资产；</w:t>
      </w:r>
    </w:p>
    <w:p w14:paraId="500F4FEF">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（三）接受捐赠并确认为国有的资产；</w:t>
      </w:r>
    </w:p>
    <w:p w14:paraId="37D60674">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（四）其他国有资产。</w:t>
      </w:r>
    </w:p>
    <w:p w14:paraId="22A675F6">
      <w:pPr>
        <w:spacing w:line="560" w:lineRule="exact"/>
        <w:ind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 xml:space="preserve">第四条  </w:t>
      </w:r>
      <w:r>
        <w:rPr>
          <w:rFonts w:hint="eastAsia" w:ascii="仿宋_GB2312" w:hAnsi="仿宋" w:eastAsia="仿宋_GB2312" w:cs="仿宋"/>
          <w:color w:val="auto"/>
          <w:spacing w:val="2"/>
          <w:sz w:val="32"/>
          <w:szCs w:val="32"/>
        </w:rPr>
        <w:t>行政事业性国有资产属于国家所有，实行政府分级监管、各主管部门及其所属单位直接支配的管理体制。</w:t>
      </w:r>
    </w:p>
    <w:p w14:paraId="7DAD9A32">
      <w:pPr>
        <w:spacing w:line="560" w:lineRule="exact"/>
        <w:ind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 xml:space="preserve">第五条  </w:t>
      </w:r>
      <w:r>
        <w:rPr>
          <w:rFonts w:hint="eastAsia" w:ascii="仿宋_GB2312" w:hAnsi="仿宋" w:eastAsia="仿宋_GB2312" w:cs="仿宋"/>
          <w:color w:val="auto"/>
          <w:spacing w:val="2"/>
          <w:sz w:val="32"/>
          <w:szCs w:val="32"/>
        </w:rPr>
        <w:t>行政事业性国有资产管理应当遵循安全规范、节约高效、公开透明、权责一致的原则，科学配置、保障需求、合理使用、提高效益，实现实物管理与价值管理相统一，资产管理与预算管理、财务管理、绩效管理相结合。</w:t>
      </w:r>
    </w:p>
    <w:p w14:paraId="6782A6F4">
      <w:pPr>
        <w:spacing w:line="560" w:lineRule="exact"/>
        <w:ind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 xml:space="preserve">第六条  </w:t>
      </w:r>
      <w:r>
        <w:rPr>
          <w:rFonts w:hint="eastAsia" w:ascii="仿宋_GB2312" w:hAnsi="仿宋" w:eastAsia="仿宋_GB2312" w:cs="仿宋"/>
          <w:color w:val="auto"/>
          <w:spacing w:val="2"/>
          <w:sz w:val="32"/>
          <w:szCs w:val="32"/>
        </w:rPr>
        <w:t>县财政部门是政府负责行政事业性国有资产管理的职能部门，依照法律法规对行政事业性国有资产实行综合管理，履行下列职责：</w:t>
      </w:r>
    </w:p>
    <w:p w14:paraId="42581BC7">
      <w:pPr>
        <w:spacing w:line="560" w:lineRule="exact"/>
        <w:ind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（一）会同有关部门制定管理制度并组织实施；</w:t>
      </w:r>
    </w:p>
    <w:p w14:paraId="1B9FA8D3">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w:t>
      </w:r>
      <w:r>
        <w:rPr>
          <w:rFonts w:hint="eastAsia" w:ascii="仿宋_GB2312" w:hAnsi="仿宋" w:eastAsia="仿宋_GB2312" w:cs="仿宋"/>
          <w:color w:val="auto"/>
          <w:spacing w:val="2"/>
          <w:sz w:val="32"/>
          <w:szCs w:val="32"/>
          <w:lang w:val="en-US" w:eastAsia="zh-CN"/>
        </w:rPr>
        <w:t>牵头</w:t>
      </w:r>
      <w:r>
        <w:rPr>
          <w:rFonts w:hint="eastAsia" w:ascii="仿宋_GB2312" w:hAnsi="仿宋" w:eastAsia="仿宋_GB2312" w:cs="仿宋"/>
          <w:color w:val="auto"/>
          <w:spacing w:val="2"/>
          <w:sz w:val="32"/>
          <w:szCs w:val="32"/>
        </w:rPr>
        <w:t>编制行政事业性国有资产管理情况报告；</w:t>
      </w:r>
    </w:p>
    <w:p w14:paraId="30457495">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（三）对本级行政事业单位和下级财政部门的行政事业性国有资产管理工作进行指导、监督、检查；</w:t>
      </w:r>
    </w:p>
    <w:p w14:paraId="5FFAA668">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（四）负责行政事业性国有资产的配置、使用、处置等管理工作，对国有资产收益实施监督管理；</w:t>
      </w:r>
    </w:p>
    <w:p w14:paraId="0CD369DC">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（五）建立行政事业性国有资产信息化管理、绩效评价和共享、共用、调剂机制；</w:t>
      </w:r>
    </w:p>
    <w:p w14:paraId="0589B78A">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（六）法律法规和国家规定的其他职责。</w:t>
      </w:r>
    </w:p>
    <w:p w14:paraId="318155CE">
      <w:pPr>
        <w:spacing w:line="560" w:lineRule="exact"/>
        <w:ind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 xml:space="preserve">第七条  </w:t>
      </w:r>
      <w:r>
        <w:rPr>
          <w:rFonts w:hint="eastAsia" w:ascii="仿宋_GB2312" w:hAnsi="仿宋" w:eastAsia="仿宋_GB2312" w:cs="仿宋"/>
          <w:color w:val="auto"/>
          <w:spacing w:val="2"/>
          <w:sz w:val="32"/>
          <w:szCs w:val="32"/>
        </w:rPr>
        <w:t>县机关事务管理</w:t>
      </w:r>
      <w:r>
        <w:rPr>
          <w:rFonts w:hint="eastAsia" w:ascii="仿宋_GB2312" w:hAnsi="仿宋" w:eastAsia="仿宋_GB2312" w:cs="仿宋"/>
          <w:color w:val="auto"/>
          <w:spacing w:val="2"/>
          <w:sz w:val="32"/>
          <w:szCs w:val="32"/>
          <w:lang w:val="en-US" w:eastAsia="zh-CN"/>
        </w:rPr>
        <w:t>部门</w:t>
      </w:r>
      <w:r>
        <w:rPr>
          <w:rFonts w:hint="eastAsia" w:ascii="仿宋_GB2312" w:hAnsi="仿宋" w:eastAsia="仿宋_GB2312" w:cs="仿宋"/>
          <w:color w:val="auto"/>
          <w:spacing w:val="2"/>
          <w:sz w:val="32"/>
          <w:szCs w:val="32"/>
        </w:rPr>
        <w:t>按照职责分工，履行下列职责：</w:t>
      </w:r>
    </w:p>
    <w:p w14:paraId="08380908">
      <w:pPr>
        <w:spacing w:line="560" w:lineRule="exact"/>
        <w:ind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（一）制定机关资产管理的具体制度并组织实施；</w:t>
      </w:r>
    </w:p>
    <w:p w14:paraId="08F7A023">
      <w:pPr>
        <w:spacing w:line="560" w:lineRule="exact"/>
        <w:ind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（二）统筹安排机关用地，集约节约利用土地；</w:t>
      </w:r>
    </w:p>
    <w:p w14:paraId="0515F6C5">
      <w:pPr>
        <w:spacing w:line="560" w:lineRule="exact"/>
        <w:ind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（三）统一组织实施机关办公用房管理；</w:t>
      </w:r>
    </w:p>
    <w:p w14:paraId="2AA53A10">
      <w:pPr>
        <w:spacing w:line="560" w:lineRule="exact"/>
        <w:ind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（四）负责本级机关公务用车管理，指导和监督下级机关公务用车管理；</w:t>
      </w:r>
    </w:p>
    <w:p w14:paraId="2FF2047D">
      <w:pPr>
        <w:spacing w:line="560" w:lineRule="exact"/>
        <w:ind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（五）法律、法规、规章规定的其他职责。</w:t>
      </w:r>
    </w:p>
    <w:p w14:paraId="203FCBA6">
      <w:pPr>
        <w:spacing w:line="560" w:lineRule="exact"/>
        <w:ind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八</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有所属单位的部门（以下简称主管部门）负责对所属单位行政事业性国有资产实施监督管理，依法履行下列职责：</w:t>
      </w:r>
    </w:p>
    <w:p w14:paraId="5C610F71">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（一）</w:t>
      </w:r>
      <w:r>
        <w:rPr>
          <w:rFonts w:hint="eastAsia" w:ascii="仿宋_GB2312" w:hAnsi="仿宋" w:eastAsia="仿宋_GB2312" w:cs="仿宋"/>
          <w:color w:val="auto"/>
          <w:spacing w:val="2"/>
          <w:sz w:val="32"/>
          <w:szCs w:val="32"/>
          <w:lang w:val="en-US" w:eastAsia="zh-CN"/>
        </w:rPr>
        <w:t>严格执行</w:t>
      </w:r>
      <w:r>
        <w:rPr>
          <w:rFonts w:hint="eastAsia" w:ascii="仿宋_GB2312" w:hAnsi="仿宋" w:eastAsia="仿宋_GB2312" w:cs="仿宋"/>
          <w:color w:val="auto"/>
          <w:spacing w:val="2"/>
          <w:sz w:val="32"/>
          <w:szCs w:val="32"/>
        </w:rPr>
        <w:t>国有资产管理制度</w:t>
      </w:r>
      <w:r>
        <w:rPr>
          <w:rFonts w:hint="eastAsia" w:ascii="仿宋_GB2312" w:hAnsi="仿宋" w:eastAsia="仿宋_GB2312" w:cs="仿宋"/>
          <w:color w:val="auto"/>
          <w:spacing w:val="2"/>
          <w:sz w:val="32"/>
          <w:szCs w:val="32"/>
          <w:lang w:eastAsia="zh-CN"/>
        </w:rPr>
        <w:t>，</w:t>
      </w:r>
      <w:r>
        <w:rPr>
          <w:rFonts w:hint="eastAsia" w:ascii="仿宋_GB2312" w:hAnsi="仿宋" w:eastAsia="仿宋_GB2312" w:cs="仿宋"/>
          <w:color w:val="auto"/>
          <w:spacing w:val="2"/>
          <w:sz w:val="32"/>
          <w:szCs w:val="32"/>
          <w:lang w:val="en-US" w:eastAsia="zh-CN"/>
        </w:rPr>
        <w:t>制定工作流程并</w:t>
      </w:r>
      <w:r>
        <w:rPr>
          <w:rFonts w:hint="eastAsia" w:ascii="仿宋_GB2312" w:hAnsi="仿宋" w:eastAsia="仿宋_GB2312" w:cs="仿宋"/>
          <w:color w:val="auto"/>
          <w:spacing w:val="2"/>
          <w:sz w:val="32"/>
          <w:szCs w:val="32"/>
        </w:rPr>
        <w:t>按照权限审核、批准行政事业性国有资产配置、使用、处置中的重大事项；</w:t>
      </w:r>
    </w:p>
    <w:p w14:paraId="42E4DC5B">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（二）编制国有资产管理情况报告；</w:t>
      </w:r>
    </w:p>
    <w:p w14:paraId="19242F6F">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（三）组织国有资产清查登记、绩效评价和信息系统使用等基础工作；</w:t>
      </w:r>
    </w:p>
    <w:p w14:paraId="79D78A01">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（四）对所属单位行政事业性国有资产管理工作进行指导、监督和检查；</w:t>
      </w:r>
    </w:p>
    <w:p w14:paraId="111A050E">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（五）法律法规和国家规定的其他职责。</w:t>
      </w:r>
    </w:p>
    <w:p w14:paraId="229213E7">
      <w:pPr>
        <w:spacing w:line="560" w:lineRule="exact"/>
        <w:ind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九</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各主管部门及其所属单位负责本部门和单位直接支配的行政事业性国有资产的具体管理工作，依法履行下列职责：</w:t>
      </w:r>
    </w:p>
    <w:p w14:paraId="4E99A482">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（一）建立健全国有资产管理制度并组织实施；</w:t>
      </w:r>
    </w:p>
    <w:p w14:paraId="5540FD36">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（二）编制国有资产管理情况报告；</w:t>
      </w:r>
    </w:p>
    <w:p w14:paraId="768CF8A9">
      <w:pPr>
        <w:spacing w:line="560" w:lineRule="exact"/>
        <w:ind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（三）负责国有资产配置、使用、处置以及收益上缴等日常管理工作；</w:t>
      </w:r>
    </w:p>
    <w:p w14:paraId="52D77724">
      <w:pPr>
        <w:spacing w:line="560" w:lineRule="exact"/>
        <w:ind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（四）法律法规和国家规定的其他职责。</w:t>
      </w:r>
    </w:p>
    <w:p w14:paraId="6D828336">
      <w:pPr>
        <w:spacing w:line="560" w:lineRule="exact"/>
        <w:jc w:val="center"/>
        <w:rPr>
          <w:rFonts w:hint="eastAsia" w:ascii="黑体" w:hAnsi="黑体" w:eastAsia="黑体" w:cs="仿宋"/>
          <w:color w:val="auto"/>
          <w:spacing w:val="2"/>
          <w:sz w:val="32"/>
          <w:szCs w:val="32"/>
        </w:rPr>
      </w:pPr>
    </w:p>
    <w:p w14:paraId="3481C13C">
      <w:pPr>
        <w:numPr>
          <w:ilvl w:val="0"/>
          <w:numId w:val="1"/>
        </w:numPr>
        <w:spacing w:line="560" w:lineRule="exact"/>
        <w:jc w:val="center"/>
        <w:rPr>
          <w:rFonts w:hint="eastAsia" w:ascii="黑体" w:hAnsi="黑体" w:eastAsia="黑体" w:cs="仿宋"/>
          <w:color w:val="auto"/>
          <w:spacing w:val="2"/>
          <w:sz w:val="32"/>
          <w:szCs w:val="32"/>
        </w:rPr>
      </w:pPr>
      <w:r>
        <w:rPr>
          <w:rFonts w:hint="eastAsia" w:ascii="黑体" w:hAnsi="黑体" w:eastAsia="黑体" w:cs="仿宋"/>
          <w:color w:val="auto"/>
          <w:spacing w:val="2"/>
          <w:sz w:val="32"/>
          <w:szCs w:val="32"/>
        </w:rPr>
        <w:t>资产配置、使用和处置</w:t>
      </w:r>
    </w:p>
    <w:p w14:paraId="5CA65C3D">
      <w:pPr>
        <w:numPr>
          <w:ilvl w:val="0"/>
          <w:numId w:val="0"/>
        </w:numPr>
        <w:spacing w:line="560" w:lineRule="exact"/>
        <w:jc w:val="both"/>
        <w:rPr>
          <w:rFonts w:hint="default" w:ascii="黑体" w:hAnsi="黑体" w:eastAsia="黑体" w:cs="仿宋"/>
          <w:color w:val="auto"/>
          <w:spacing w:val="2"/>
          <w:sz w:val="32"/>
          <w:szCs w:val="32"/>
          <w:highlight w:val="none"/>
          <w:lang w:val="en-US" w:eastAsia="zh-CN"/>
        </w:rPr>
      </w:pPr>
      <w:r>
        <w:rPr>
          <w:rFonts w:hint="eastAsia" w:ascii="黑体" w:hAnsi="黑体" w:eastAsia="黑体" w:cs="仿宋"/>
          <w:color w:val="auto"/>
          <w:spacing w:val="2"/>
          <w:sz w:val="32"/>
          <w:szCs w:val="32"/>
          <w:lang w:val="en-US" w:eastAsia="zh-CN"/>
        </w:rPr>
        <w:t xml:space="preserve">                   </w:t>
      </w:r>
      <w:r>
        <w:rPr>
          <w:rFonts w:hint="eastAsia" w:ascii="黑体" w:hAnsi="黑体" w:eastAsia="黑体" w:cs="仿宋"/>
          <w:color w:val="auto"/>
          <w:spacing w:val="2"/>
          <w:sz w:val="32"/>
          <w:szCs w:val="32"/>
          <w:highlight w:val="none"/>
          <w:lang w:val="en-US" w:eastAsia="zh-CN"/>
        </w:rPr>
        <w:t xml:space="preserve">  </w:t>
      </w:r>
      <w:r>
        <w:rPr>
          <w:rFonts w:hint="eastAsia" w:ascii="仿宋_GB2312" w:hAnsi="仿宋_GB2312" w:eastAsia="仿宋_GB2312" w:cs="仿宋_GB2312"/>
          <w:color w:val="auto"/>
          <w:spacing w:val="2"/>
          <w:sz w:val="24"/>
          <w:szCs w:val="24"/>
          <w:highlight w:val="none"/>
          <w:lang w:val="en-US" w:eastAsia="zh-CN"/>
        </w:rPr>
        <w:t xml:space="preserve"> （一）资产配置</w:t>
      </w:r>
    </w:p>
    <w:p w14:paraId="28A2DA24">
      <w:pPr>
        <w:spacing w:line="560" w:lineRule="exact"/>
        <w:ind w:firstLine="640" w:firstLineChars="200"/>
        <w:rPr>
          <w:rFonts w:hint="eastAsia" w:ascii="仿宋_GB2312" w:hAnsi="仿宋" w:eastAsia="仿宋_GB2312" w:cs="仿宋"/>
          <w:color w:val="auto"/>
          <w:spacing w:val="2"/>
          <w:sz w:val="32"/>
          <w:szCs w:val="32"/>
          <w:highlight w:val="none"/>
        </w:rPr>
      </w:pPr>
      <w:r>
        <w:rPr>
          <w:rFonts w:hint="eastAsia" w:ascii="Times New Roman" w:hAnsi="Times New Roman" w:eastAsia="黑体" w:cs="Times New Roman"/>
          <w:bCs/>
          <w:color w:val="auto"/>
          <w:sz w:val="32"/>
          <w:szCs w:val="32"/>
          <w:highlight w:val="none"/>
        </w:rPr>
        <w:t>第</w:t>
      </w:r>
      <w:r>
        <w:rPr>
          <w:rFonts w:hint="eastAsia" w:ascii="Times New Roman" w:hAnsi="Times New Roman" w:eastAsia="黑体" w:cs="Times New Roman"/>
          <w:bCs/>
          <w:color w:val="auto"/>
          <w:sz w:val="32"/>
          <w:szCs w:val="32"/>
          <w:highlight w:val="none"/>
          <w:lang w:val="en-US" w:eastAsia="zh-CN"/>
        </w:rPr>
        <w:t>十</w:t>
      </w:r>
      <w:r>
        <w:rPr>
          <w:rFonts w:hint="eastAsia" w:ascii="Times New Roman" w:hAnsi="Times New Roman" w:eastAsia="黑体" w:cs="Times New Roman"/>
          <w:bCs/>
          <w:color w:val="auto"/>
          <w:sz w:val="32"/>
          <w:szCs w:val="32"/>
          <w:highlight w:val="none"/>
        </w:rPr>
        <w:t xml:space="preserve">条  </w:t>
      </w:r>
      <w:r>
        <w:rPr>
          <w:rFonts w:hint="eastAsia" w:ascii="仿宋_GB2312" w:hAnsi="仿宋" w:eastAsia="仿宋_GB2312" w:cs="仿宋"/>
          <w:color w:val="auto"/>
          <w:spacing w:val="2"/>
          <w:sz w:val="32"/>
          <w:szCs w:val="32"/>
          <w:highlight w:val="none"/>
        </w:rPr>
        <w:t>各主管部门及其所属单位应当根据履行职能和发展事业的需要，结合资产存量、资产配置标准、绩效目标和财政承受能力配置资产。</w:t>
      </w:r>
    </w:p>
    <w:p w14:paraId="6BC3C2C2">
      <w:pPr>
        <w:spacing w:line="560" w:lineRule="exact"/>
        <w:ind w:firstLine="648" w:firstLineChars="200"/>
        <w:rPr>
          <w:rFonts w:hint="eastAsia" w:ascii="仿宋_GB2312" w:hAnsi="仿宋" w:eastAsia="仿宋_GB2312" w:cs="仿宋"/>
          <w:color w:val="auto"/>
          <w:spacing w:val="2"/>
          <w:sz w:val="32"/>
          <w:szCs w:val="32"/>
          <w:highlight w:val="none"/>
          <w:lang w:val="en-US" w:eastAsia="zh-CN"/>
        </w:rPr>
      </w:pPr>
      <w:r>
        <w:rPr>
          <w:rFonts w:hint="eastAsia" w:ascii="仿宋_GB2312" w:hAnsi="仿宋" w:eastAsia="仿宋_GB2312" w:cs="仿宋"/>
          <w:color w:val="auto"/>
          <w:spacing w:val="2"/>
          <w:sz w:val="32"/>
          <w:szCs w:val="32"/>
          <w:highlight w:val="none"/>
          <w:lang w:val="en-US" w:eastAsia="zh-CN"/>
        </w:rPr>
        <w:t>配置资产应当按照预算法及政府采购有关法律法规及制度规定执行。新增资产配置事项纳入预算编制范围的，应当按照预算管理的规定办理。</w:t>
      </w:r>
    </w:p>
    <w:p w14:paraId="356B5E87">
      <w:pPr>
        <w:spacing w:line="560" w:lineRule="exact"/>
        <w:ind w:firstLine="648" w:firstLineChars="200"/>
        <w:rPr>
          <w:rFonts w:hint="default" w:ascii="仿宋_GB2312" w:hAnsi="仿宋" w:eastAsia="仿宋_GB2312" w:cs="仿宋"/>
          <w:color w:val="auto"/>
          <w:spacing w:val="2"/>
          <w:sz w:val="32"/>
          <w:szCs w:val="32"/>
          <w:highlight w:val="none"/>
          <w:lang w:val="en-US" w:eastAsia="zh-CN"/>
        </w:rPr>
      </w:pPr>
      <w:r>
        <w:rPr>
          <w:rFonts w:hint="eastAsia" w:ascii="仿宋_GB2312" w:hAnsi="仿宋" w:eastAsia="仿宋_GB2312" w:cs="仿宋"/>
          <w:color w:val="auto"/>
          <w:spacing w:val="2"/>
          <w:sz w:val="32"/>
          <w:szCs w:val="32"/>
          <w:highlight w:val="none"/>
          <w:lang w:val="en-US" w:eastAsia="zh-CN"/>
        </w:rPr>
        <w:t>存量资产数量已达到相关规定标准的，不得申请配置资产。</w:t>
      </w:r>
    </w:p>
    <w:p w14:paraId="5D61C6D4">
      <w:pPr>
        <w:spacing w:line="560" w:lineRule="exact"/>
        <w:ind w:firstLine="640" w:firstLineChars="200"/>
        <w:rPr>
          <w:rFonts w:hint="eastAsia" w:ascii="仿宋_GB2312" w:hAnsi="仿宋" w:eastAsia="仿宋_GB2312" w:cs="仿宋"/>
          <w:color w:val="auto"/>
          <w:spacing w:val="2"/>
          <w:sz w:val="32"/>
          <w:szCs w:val="32"/>
          <w:highlight w:val="none"/>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一</w:t>
      </w:r>
      <w:r>
        <w:rPr>
          <w:rFonts w:hint="eastAsia" w:ascii="Times New Roman" w:hAnsi="Times New Roman" w:eastAsia="黑体" w:cs="Times New Roman"/>
          <w:bCs/>
          <w:color w:val="auto"/>
          <w:sz w:val="32"/>
          <w:szCs w:val="32"/>
          <w:highlight w:val="none"/>
        </w:rPr>
        <w:t xml:space="preserve">条  </w:t>
      </w:r>
      <w:r>
        <w:rPr>
          <w:rFonts w:hint="eastAsia" w:ascii="仿宋_GB2312" w:hAnsi="仿宋" w:eastAsia="仿宋_GB2312" w:cs="仿宋"/>
          <w:color w:val="auto"/>
          <w:spacing w:val="2"/>
          <w:sz w:val="32"/>
          <w:szCs w:val="32"/>
          <w:highlight w:val="none"/>
        </w:rPr>
        <w:t>通用资产配置标</w:t>
      </w:r>
      <w:r>
        <w:rPr>
          <w:rFonts w:hint="eastAsia" w:ascii="仿宋_GB2312" w:hAnsi="仿宋" w:eastAsia="仿宋_GB2312" w:cs="仿宋"/>
          <w:color w:val="auto"/>
          <w:spacing w:val="2"/>
          <w:sz w:val="32"/>
          <w:szCs w:val="32"/>
          <w:highlight w:val="none"/>
          <w:lang w:eastAsia="zh-CN"/>
        </w:rPr>
        <w:t>准由</w:t>
      </w:r>
      <w:r>
        <w:rPr>
          <w:rFonts w:hint="eastAsia" w:ascii="仿宋_GB2312" w:hAnsi="仿宋" w:eastAsia="仿宋_GB2312" w:cs="仿宋"/>
          <w:color w:val="auto"/>
          <w:spacing w:val="2"/>
          <w:sz w:val="32"/>
          <w:szCs w:val="32"/>
          <w:highlight w:val="none"/>
          <w:lang w:val="en-US" w:eastAsia="zh-CN"/>
        </w:rPr>
        <w:t>财政部门会同机关事务管理部门研究制定</w:t>
      </w:r>
      <w:r>
        <w:rPr>
          <w:rFonts w:hint="eastAsia" w:ascii="仿宋_GB2312" w:hAnsi="仿宋" w:eastAsia="仿宋_GB2312" w:cs="仿宋"/>
          <w:color w:val="auto"/>
          <w:spacing w:val="2"/>
          <w:sz w:val="32"/>
          <w:szCs w:val="32"/>
          <w:highlight w:val="none"/>
        </w:rPr>
        <w:t>，专用资产配置标准由各主管部门会同财政部门研究制定，并根据国家和省市有关政策、经济社会发展、地方财力水平、市场价格变化、科学技术进步等因素适时调整。</w:t>
      </w:r>
    </w:p>
    <w:p w14:paraId="6D5B0FB3">
      <w:pPr>
        <w:spacing w:line="560" w:lineRule="exact"/>
        <w:ind w:firstLine="648" w:firstLineChars="200"/>
        <w:rPr>
          <w:rFonts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rPr>
        <w:t>各主管部门及其所属单位应当按照规定标准配置国有资产；没有配置标准的，应当从严控制，合理配置</w:t>
      </w:r>
      <w:r>
        <w:rPr>
          <w:rFonts w:hint="eastAsia" w:ascii="仿宋_GB2312" w:hAnsi="仿宋" w:eastAsia="仿宋_GB2312" w:cs="仿宋"/>
          <w:color w:val="auto"/>
          <w:spacing w:val="2"/>
          <w:sz w:val="32"/>
          <w:szCs w:val="32"/>
          <w:highlight w:val="none"/>
          <w:lang w:eastAsia="zh-CN"/>
        </w:rPr>
        <w:t>，</w:t>
      </w:r>
      <w:r>
        <w:rPr>
          <w:rFonts w:hint="eastAsia" w:ascii="仿宋_GB2312" w:hAnsi="仿宋" w:eastAsia="仿宋_GB2312" w:cs="仿宋"/>
          <w:color w:val="auto"/>
          <w:spacing w:val="2"/>
          <w:sz w:val="32"/>
          <w:szCs w:val="32"/>
          <w:highlight w:val="none"/>
          <w:lang w:val="en-US" w:eastAsia="zh-CN"/>
        </w:rPr>
        <w:t>由申请部门进行需求调查，并提交需求调查报告供审核</w:t>
      </w:r>
      <w:r>
        <w:rPr>
          <w:rFonts w:hint="eastAsia" w:ascii="仿宋_GB2312" w:hAnsi="仿宋" w:eastAsia="仿宋_GB2312" w:cs="仿宋"/>
          <w:color w:val="auto"/>
          <w:spacing w:val="2"/>
          <w:sz w:val="32"/>
          <w:szCs w:val="32"/>
          <w:highlight w:val="none"/>
        </w:rPr>
        <w:t>。</w:t>
      </w:r>
    </w:p>
    <w:p w14:paraId="2546B5C9">
      <w:pPr>
        <w:spacing w:line="560" w:lineRule="exact"/>
        <w:ind w:right="17" w:firstLine="640" w:firstLineChars="200"/>
        <w:rPr>
          <w:rFonts w:hint="default" w:ascii="仿宋_GB2312" w:hAnsi="仿宋" w:eastAsia="仿宋_GB2312" w:cs="仿宋"/>
          <w:color w:val="auto"/>
          <w:spacing w:val="2"/>
          <w:sz w:val="32"/>
          <w:szCs w:val="32"/>
          <w:highlight w:val="none"/>
          <w:lang w:val="en-US" w:eastAsia="zh-CN"/>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二</w:t>
      </w:r>
      <w:r>
        <w:rPr>
          <w:rFonts w:hint="eastAsia" w:ascii="Times New Roman" w:hAnsi="Times New Roman" w:eastAsia="黑体" w:cs="Times New Roman"/>
          <w:bCs/>
          <w:color w:val="auto"/>
          <w:sz w:val="32"/>
          <w:szCs w:val="32"/>
          <w:highlight w:val="none"/>
        </w:rPr>
        <w:t xml:space="preserve">条  </w:t>
      </w:r>
      <w:r>
        <w:rPr>
          <w:rFonts w:hint="eastAsia" w:ascii="仿宋_GB2312" w:hAnsi="仿宋" w:eastAsia="仿宋_GB2312" w:cs="仿宋"/>
          <w:color w:val="auto"/>
          <w:spacing w:val="2"/>
          <w:sz w:val="32"/>
          <w:szCs w:val="32"/>
          <w:highlight w:val="none"/>
        </w:rPr>
        <w:t>资产配置包括调剂、购置、建设、租用、接受捐赠等方式。各主管部门及其所属单位应当优先通过调剂方式配置资产。不能调剂的，按照厉行节约、反对浪费的原则，合理选择购置、建设、租用等方式配置。</w:t>
      </w:r>
      <w:r>
        <w:rPr>
          <w:rFonts w:hint="eastAsia" w:ascii="仿宋_GB2312" w:hAnsi="仿宋" w:eastAsia="仿宋_GB2312" w:cs="仿宋"/>
          <w:color w:val="auto"/>
          <w:spacing w:val="2"/>
          <w:sz w:val="32"/>
          <w:szCs w:val="32"/>
          <w:highlight w:val="none"/>
          <w:lang w:val="en-US" w:eastAsia="zh-CN"/>
        </w:rPr>
        <w:t>采取购置、建设方式配置办公用房的，应当执行新建办公用房各项标准，使用财政资金的，应当严格执行政府投资项目审批程序；使用自有资金的，应当按发改部门有关规定履行备案程序。</w:t>
      </w:r>
    </w:p>
    <w:p w14:paraId="5940C9E6">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rPr>
        <w:t>机关事务管理部门会同财政部门建立公物仓管理制度，推进国有资产共享共用。</w:t>
      </w:r>
      <w:r>
        <w:rPr>
          <w:rFonts w:hint="eastAsia" w:ascii="仿宋_GB2312" w:hAnsi="仿宋" w:eastAsia="仿宋_GB2312" w:cs="仿宋"/>
          <w:color w:val="auto"/>
          <w:spacing w:val="2"/>
          <w:sz w:val="32"/>
          <w:szCs w:val="32"/>
          <w:highlight w:val="none"/>
          <w:lang w:val="en-US" w:eastAsia="zh-CN"/>
        </w:rPr>
        <w:t>鼓励跨部门、跨级次的资产调剂和共享共用</w:t>
      </w:r>
      <w:r>
        <w:rPr>
          <w:rFonts w:hint="eastAsia" w:ascii="仿宋_GB2312" w:hAnsi="仿宋" w:eastAsia="仿宋_GB2312" w:cs="仿宋"/>
          <w:color w:val="auto"/>
          <w:spacing w:val="2"/>
          <w:sz w:val="32"/>
          <w:szCs w:val="32"/>
          <w:highlight w:val="none"/>
        </w:rPr>
        <w:t>。</w:t>
      </w:r>
    </w:p>
    <w:p w14:paraId="61A81DE7">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lang w:val="en-US" w:eastAsia="zh-CN"/>
        </w:rPr>
        <w:t>通过无偿划转、捐赠等方式配置的资产，应当与工作职责和人员编制情况相符</w:t>
      </w:r>
      <w:r>
        <w:rPr>
          <w:rFonts w:hint="eastAsia" w:ascii="仿宋_GB2312" w:hAnsi="仿宋" w:eastAsia="仿宋_GB2312" w:cs="仿宋"/>
          <w:color w:val="auto"/>
          <w:spacing w:val="2"/>
          <w:sz w:val="32"/>
          <w:szCs w:val="32"/>
          <w:highlight w:val="none"/>
        </w:rPr>
        <w:t>。</w:t>
      </w:r>
    </w:p>
    <w:p w14:paraId="0AC2086B">
      <w:pPr>
        <w:spacing w:line="560" w:lineRule="exact"/>
        <w:ind w:right="17"/>
        <w:jc w:val="center"/>
        <w:rPr>
          <w:rFonts w:hint="eastAsia" w:ascii="仿宋_GB2312" w:hAnsi="仿宋" w:eastAsia="仿宋_GB2312" w:cs="仿宋"/>
          <w:color w:val="auto"/>
          <w:spacing w:val="2"/>
          <w:sz w:val="32"/>
          <w:szCs w:val="32"/>
          <w:highlight w:val="none"/>
        </w:rPr>
      </w:pPr>
      <w:r>
        <w:rPr>
          <w:rFonts w:hint="eastAsia" w:ascii="仿宋_GB2312" w:hAnsi="仿宋_GB2312" w:eastAsia="仿宋_GB2312" w:cs="仿宋_GB2312"/>
          <w:color w:val="auto"/>
          <w:spacing w:val="2"/>
          <w:sz w:val="24"/>
          <w:szCs w:val="24"/>
          <w:highlight w:val="none"/>
          <w:lang w:val="en-US" w:eastAsia="zh-CN"/>
        </w:rPr>
        <w:t>（二）资产使用</w:t>
      </w:r>
    </w:p>
    <w:p w14:paraId="20973B11">
      <w:pPr>
        <w:spacing w:line="560" w:lineRule="exact"/>
        <w:ind w:right="17" w:firstLine="640" w:firstLineChars="200"/>
        <w:rPr>
          <w:rFonts w:hint="eastAsia" w:ascii="仿宋_GB2312" w:hAnsi="仿宋" w:eastAsia="仿宋_GB2312" w:cs="仿宋"/>
          <w:color w:val="auto"/>
          <w:spacing w:val="2"/>
          <w:sz w:val="32"/>
          <w:szCs w:val="32"/>
          <w:highlight w:val="none"/>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三</w:t>
      </w:r>
      <w:r>
        <w:rPr>
          <w:rFonts w:hint="eastAsia" w:ascii="Times New Roman" w:hAnsi="Times New Roman" w:eastAsia="黑体" w:cs="Times New Roman"/>
          <w:bCs/>
          <w:color w:val="auto"/>
          <w:sz w:val="32"/>
          <w:szCs w:val="32"/>
          <w:highlight w:val="none"/>
        </w:rPr>
        <w:t xml:space="preserve">条  </w:t>
      </w:r>
      <w:r>
        <w:rPr>
          <w:rFonts w:hint="eastAsia" w:ascii="仿宋_GB2312" w:hAnsi="仿宋" w:eastAsia="仿宋_GB2312" w:cs="仿宋"/>
          <w:color w:val="auto"/>
          <w:spacing w:val="2"/>
          <w:sz w:val="32"/>
          <w:szCs w:val="32"/>
          <w:highlight w:val="none"/>
        </w:rPr>
        <w:t>行政事业性国有资产的使用包括自用、出租、出借以及事业单位依法利用国有资产对外投资、担保等。</w:t>
      </w:r>
    </w:p>
    <w:p w14:paraId="34B79DC3">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rPr>
        <w:t>行政单位国有资产应当用于本单位履行职能需要，符合条件的经批准可以出租出借。事业单位国有资产应当用于保障事业发展、提供公共服务，符合规定条件的，经批准可以出租出借、对外投资等。除法律另有规定外，行政单位不得以任何形式将国有资产用于对外投资、担保或者设立营利性组织。</w:t>
      </w:r>
    </w:p>
    <w:p w14:paraId="761F8FA3">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lang w:eastAsia="zh-CN"/>
        </w:rPr>
        <w:t>行政事业单位</w:t>
      </w:r>
      <w:r>
        <w:rPr>
          <w:rFonts w:hint="eastAsia" w:ascii="仿宋_GB2312" w:hAnsi="仿宋" w:eastAsia="仿宋_GB2312" w:cs="仿宋"/>
          <w:color w:val="auto"/>
          <w:spacing w:val="2"/>
          <w:sz w:val="32"/>
          <w:szCs w:val="32"/>
          <w:highlight w:val="none"/>
        </w:rPr>
        <w:t>对不需使用且难以调剂共享的国有资产，经集体决策，履行审批程序后可以出租出借，未经批准不得出租出借。除集中运营或打造产业园、科技园、孵化器等用途外，经批准出租出借的国有资产不得转租转借。</w:t>
      </w:r>
    </w:p>
    <w:p w14:paraId="0D28B943">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rPr>
        <w:t>行政事业性国有资产不得出借给非行政事业单位或者个人。</w:t>
      </w:r>
    </w:p>
    <w:p w14:paraId="542A95C7">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lang w:eastAsia="zh-CN"/>
        </w:rPr>
        <w:t>行政事业单位</w:t>
      </w:r>
      <w:r>
        <w:rPr>
          <w:rFonts w:hint="eastAsia" w:ascii="仿宋_GB2312" w:hAnsi="仿宋" w:eastAsia="仿宋_GB2312" w:cs="仿宋"/>
          <w:color w:val="auto"/>
          <w:spacing w:val="2"/>
          <w:sz w:val="32"/>
          <w:szCs w:val="32"/>
          <w:highlight w:val="none"/>
        </w:rPr>
        <w:t>的货币资金不得用于出借。</w:t>
      </w:r>
    </w:p>
    <w:p w14:paraId="3F83B519">
      <w:pPr>
        <w:spacing w:line="560" w:lineRule="exact"/>
        <w:ind w:right="17" w:firstLine="648" w:firstLineChars="200"/>
        <w:rPr>
          <w:rFonts w:ascii="Times New Roman" w:hAnsi="Times New Roman" w:eastAsia="仿宋_GB2312" w:cs="Times New Roman"/>
          <w:color w:val="auto"/>
          <w:spacing w:val="0"/>
          <w:w w:val="100"/>
          <w:sz w:val="32"/>
          <w:szCs w:val="32"/>
          <w:highlight w:val="none"/>
          <w:shd w:val="clear" w:color="auto" w:fill="auto"/>
        </w:rPr>
      </w:pPr>
      <w:r>
        <w:rPr>
          <w:rFonts w:hint="eastAsia" w:ascii="仿宋_GB2312" w:hAnsi="仿宋" w:eastAsia="仿宋_GB2312" w:cs="仿宋"/>
          <w:color w:val="auto"/>
          <w:spacing w:val="2"/>
          <w:sz w:val="32"/>
          <w:szCs w:val="32"/>
          <w:highlight w:val="none"/>
          <w:lang w:eastAsia="zh-CN"/>
        </w:rPr>
        <w:t>行政事业单位</w:t>
      </w:r>
      <w:r>
        <w:rPr>
          <w:rFonts w:hint="eastAsia" w:ascii="仿宋_GB2312" w:hAnsi="仿宋" w:eastAsia="仿宋_GB2312" w:cs="仿宋"/>
          <w:color w:val="auto"/>
          <w:spacing w:val="2"/>
          <w:sz w:val="32"/>
          <w:szCs w:val="32"/>
          <w:highlight w:val="none"/>
        </w:rPr>
        <w:t>应当落实国有资产使用管理的主体责任，</w:t>
      </w:r>
      <w:r>
        <w:rPr>
          <w:rFonts w:ascii="Times New Roman" w:hAnsi="Times New Roman" w:eastAsia="仿宋_GB2312" w:cs="Times New Roman"/>
          <w:color w:val="auto"/>
          <w:spacing w:val="0"/>
          <w:w w:val="100"/>
          <w:sz w:val="32"/>
          <w:szCs w:val="32"/>
          <w:highlight w:val="none"/>
          <w:shd w:val="clear" w:color="auto" w:fill="auto"/>
        </w:rPr>
        <w:t>建立健全国有资产使用管理和内部控制制度，明确管理责任，规范使用流程，加强产权保护，提高使用效益。</w:t>
      </w:r>
    </w:p>
    <w:p w14:paraId="3B3D5B5E">
      <w:pPr>
        <w:spacing w:line="560" w:lineRule="exact"/>
        <w:ind w:right="17" w:firstLine="640" w:firstLineChars="200"/>
        <w:rPr>
          <w:rFonts w:ascii="仿宋_GB2312" w:hAnsi="仿宋" w:eastAsia="仿宋_GB2312" w:cs="仿宋"/>
          <w:b/>
          <w:bCs/>
          <w:color w:val="auto"/>
          <w:spacing w:val="2"/>
          <w:sz w:val="32"/>
          <w:szCs w:val="32"/>
          <w:highlight w:val="none"/>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四</w:t>
      </w:r>
      <w:r>
        <w:rPr>
          <w:rFonts w:hint="eastAsia" w:ascii="Times New Roman" w:hAnsi="Times New Roman" w:eastAsia="黑体" w:cs="Times New Roman"/>
          <w:bCs/>
          <w:color w:val="auto"/>
          <w:sz w:val="32"/>
          <w:szCs w:val="32"/>
          <w:highlight w:val="none"/>
        </w:rPr>
        <w:t xml:space="preserve">条  </w:t>
      </w:r>
      <w:r>
        <w:rPr>
          <w:rFonts w:hint="eastAsia" w:ascii="仿宋_GB2312" w:hAnsi="仿宋" w:eastAsia="仿宋_GB2312" w:cs="仿宋"/>
          <w:color w:val="auto"/>
          <w:spacing w:val="2"/>
          <w:sz w:val="32"/>
          <w:szCs w:val="32"/>
          <w:highlight w:val="none"/>
        </w:rPr>
        <w:t>各主管部门及其所属单位应当加强对直接支配的国有资产的管理，明确管理责任，规范使用流程，加强产权保护，推进相关资产安全有效使用。</w:t>
      </w:r>
    </w:p>
    <w:p w14:paraId="0D941267">
      <w:pPr>
        <w:spacing w:line="560" w:lineRule="exact"/>
        <w:ind w:right="17" w:firstLine="640" w:firstLineChars="200"/>
        <w:rPr>
          <w:rFonts w:hint="eastAsia" w:ascii="仿宋_GB2312" w:hAnsi="仿宋" w:eastAsia="仿宋_GB2312" w:cs="仿宋"/>
          <w:color w:val="auto"/>
          <w:spacing w:val="2"/>
          <w:sz w:val="32"/>
          <w:szCs w:val="32"/>
          <w:highlight w:val="none"/>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五</w:t>
      </w:r>
      <w:r>
        <w:rPr>
          <w:rFonts w:hint="eastAsia" w:ascii="Times New Roman" w:hAnsi="Times New Roman" w:eastAsia="黑体" w:cs="Times New Roman"/>
          <w:bCs/>
          <w:color w:val="auto"/>
          <w:sz w:val="32"/>
          <w:szCs w:val="32"/>
          <w:highlight w:val="none"/>
        </w:rPr>
        <w:t xml:space="preserve">条  </w:t>
      </w:r>
      <w:r>
        <w:rPr>
          <w:rFonts w:hint="eastAsia" w:ascii="仿宋_GB2312" w:hAnsi="仿宋" w:eastAsia="仿宋_GB2312" w:cs="仿宋"/>
          <w:color w:val="auto"/>
          <w:spacing w:val="2"/>
          <w:sz w:val="32"/>
          <w:szCs w:val="32"/>
          <w:highlight w:val="none"/>
        </w:rPr>
        <w:t>各主管部门及其所属单位应当明确资产管理职能部门和资产使用人、管理人的岗位职责。资产使用人应当合理使用、妥善保管资产，出现损坏及时报修，避免资产闲置浪费，严禁公物私用。资产管理人应当落实资产维修、保养、调剂、更新以及报废责任。</w:t>
      </w:r>
    </w:p>
    <w:p w14:paraId="7A80C9F8">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rPr>
        <w:t>资产使用人、管理人发生变化的，应当及时办理资产交接手续。</w:t>
      </w:r>
    </w:p>
    <w:p w14:paraId="63AD2C9F">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53"/>
        <w:jc w:val="both"/>
        <w:textAlignment w:val="baseline"/>
        <w:rPr>
          <w:rFonts w:hint="eastAsia" w:ascii="仿宋_GB2312" w:hAnsi="仿宋" w:eastAsia="仿宋_GB2312" w:cs="仿宋"/>
          <w:color w:val="auto"/>
          <w:spacing w:val="2"/>
          <w:sz w:val="32"/>
          <w:szCs w:val="32"/>
          <w:highlight w:val="none"/>
        </w:rPr>
      </w:pPr>
      <w:r>
        <w:rPr>
          <w:rFonts w:hint="eastAsia" w:eastAsia="仿宋_GB2312"/>
          <w:color w:val="auto"/>
          <w:spacing w:val="0"/>
          <w:w w:val="100"/>
          <w:sz w:val="32"/>
          <w:szCs w:val="32"/>
          <w:highlight w:val="none"/>
          <w:shd w:val="clear" w:color="auto" w:fill="auto"/>
          <w:lang w:eastAsia="zh-CN"/>
        </w:rPr>
        <w:t>行政事业单位</w:t>
      </w:r>
      <w:r>
        <w:rPr>
          <w:rFonts w:eastAsia="仿宋_GB2312"/>
          <w:color w:val="auto"/>
          <w:spacing w:val="0"/>
          <w:w w:val="100"/>
          <w:sz w:val="32"/>
          <w:szCs w:val="32"/>
          <w:highlight w:val="none"/>
          <w:shd w:val="clear" w:color="auto" w:fill="auto"/>
        </w:rPr>
        <w:t>应当积极</w:t>
      </w:r>
      <w:r>
        <w:rPr>
          <w:rFonts w:hint="eastAsia" w:eastAsia="仿宋_GB2312"/>
          <w:color w:val="auto"/>
          <w:spacing w:val="0"/>
          <w:w w:val="100"/>
          <w:sz w:val="32"/>
          <w:szCs w:val="32"/>
          <w:highlight w:val="none"/>
          <w:shd w:val="clear" w:color="auto" w:fill="auto"/>
          <w:lang w:val="en-US" w:eastAsia="zh-CN"/>
        </w:rPr>
        <w:t>探索</w:t>
      </w:r>
      <w:r>
        <w:rPr>
          <w:rFonts w:eastAsia="仿宋_GB2312"/>
          <w:color w:val="auto"/>
          <w:spacing w:val="0"/>
          <w:w w:val="100"/>
          <w:sz w:val="32"/>
          <w:szCs w:val="32"/>
          <w:highlight w:val="none"/>
          <w:shd w:val="clear" w:color="auto" w:fill="auto"/>
        </w:rPr>
        <w:t>国有资产绩效管理的方式方法，按规定开展绩效评价，真实反映管理绩效，提高管理效能。</w:t>
      </w:r>
    </w:p>
    <w:p w14:paraId="54D44014">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22"/>
        <w:jc w:val="both"/>
        <w:textAlignment w:val="baseline"/>
        <w:rPr>
          <w:rFonts w:eastAsia="仿宋_GB2312"/>
          <w:color w:val="auto"/>
          <w:spacing w:val="0"/>
          <w:w w:val="100"/>
          <w:sz w:val="32"/>
          <w:szCs w:val="32"/>
          <w:highlight w:val="none"/>
          <w:shd w:val="clear" w:color="auto" w:fill="auto"/>
        </w:rPr>
      </w:pPr>
      <w:r>
        <w:rPr>
          <w:rFonts w:hint="eastAsia" w:eastAsia="黑体"/>
          <w:bCs/>
          <w:color w:val="auto"/>
          <w:sz w:val="32"/>
          <w:szCs w:val="32"/>
          <w:highlight w:val="none"/>
        </w:rPr>
        <w:t>第十</w:t>
      </w:r>
      <w:r>
        <w:rPr>
          <w:rFonts w:hint="eastAsia" w:eastAsia="黑体"/>
          <w:bCs/>
          <w:color w:val="auto"/>
          <w:sz w:val="32"/>
          <w:szCs w:val="32"/>
          <w:highlight w:val="none"/>
          <w:lang w:val="en-US" w:eastAsia="zh-CN"/>
        </w:rPr>
        <w:t>六</w:t>
      </w:r>
      <w:r>
        <w:rPr>
          <w:rFonts w:hint="eastAsia" w:eastAsia="黑体"/>
          <w:bCs/>
          <w:color w:val="auto"/>
          <w:sz w:val="32"/>
          <w:szCs w:val="32"/>
          <w:highlight w:val="none"/>
        </w:rPr>
        <w:t xml:space="preserve">条 </w:t>
      </w:r>
      <w:r>
        <w:rPr>
          <w:rFonts w:hint="eastAsia" w:eastAsia="黑体"/>
          <w:bCs/>
          <w:color w:val="auto"/>
          <w:sz w:val="32"/>
          <w:szCs w:val="32"/>
          <w:highlight w:val="none"/>
          <w:lang w:val="en-US" w:eastAsia="zh-CN"/>
        </w:rPr>
        <w:t xml:space="preserve"> </w:t>
      </w:r>
      <w:r>
        <w:rPr>
          <w:rFonts w:hint="eastAsia" w:ascii="仿宋_GB2312" w:hAnsi="仿宋" w:eastAsia="仿宋_GB2312" w:cs="仿宋"/>
          <w:color w:val="auto"/>
          <w:spacing w:val="2"/>
          <w:sz w:val="32"/>
          <w:szCs w:val="32"/>
          <w:highlight w:val="none"/>
        </w:rPr>
        <w:t>严格控制行政事业性国有资产对外出租、出借。确需对外出租、出借的，应当按照规定履行批准程序。未经批准不得出租、出借。</w:t>
      </w:r>
      <w:r>
        <w:rPr>
          <w:rFonts w:eastAsia="仿宋_GB2312"/>
          <w:color w:val="auto"/>
          <w:spacing w:val="0"/>
          <w:w w:val="100"/>
          <w:sz w:val="32"/>
          <w:szCs w:val="32"/>
          <w:highlight w:val="none"/>
          <w:shd w:val="clear" w:color="auto" w:fill="auto"/>
        </w:rPr>
        <w:t>有下列情形之一的，不得出租出借：</w:t>
      </w:r>
    </w:p>
    <w:p w14:paraId="46D34FEA">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（一）已被依法查封、冻结的；</w:t>
      </w:r>
    </w:p>
    <w:p w14:paraId="6D0862E3">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（二）未取得其他产权共有人同意的；</w:t>
      </w:r>
    </w:p>
    <w:p w14:paraId="3832792E">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（三）权属不清或产权有争议的；</w:t>
      </w:r>
    </w:p>
    <w:p w14:paraId="6C1F60F6">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（四）其他违反法律、行政法规规定的。</w:t>
      </w:r>
    </w:p>
    <w:p w14:paraId="26F4FD55">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hint="eastAsia" w:eastAsia="仿宋_GB2312"/>
          <w:color w:val="auto"/>
          <w:spacing w:val="0"/>
          <w:w w:val="100"/>
          <w:sz w:val="32"/>
          <w:szCs w:val="32"/>
          <w:highlight w:val="none"/>
          <w:shd w:val="clear" w:color="auto" w:fill="auto"/>
          <w:lang w:eastAsia="zh-CN"/>
        </w:rPr>
        <w:t>行政事业单位</w:t>
      </w:r>
      <w:r>
        <w:rPr>
          <w:rFonts w:eastAsia="仿宋_GB2312"/>
          <w:color w:val="auto"/>
          <w:spacing w:val="0"/>
          <w:w w:val="100"/>
          <w:sz w:val="32"/>
          <w:szCs w:val="32"/>
          <w:highlight w:val="none"/>
          <w:shd w:val="clear" w:color="auto" w:fill="auto"/>
        </w:rPr>
        <w:t>申请出租出借国有资产，应当提供下列材料，并对材料的真实性、有效性、准确性负责：</w:t>
      </w:r>
    </w:p>
    <w:p w14:paraId="3F034DB0">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（一）申请文件及单位内部集体决策有关决议或会议纪要；</w:t>
      </w:r>
    </w:p>
    <w:p w14:paraId="5A817F68">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11"/>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（二）权属证明材料，包括产权证或产权无争议相关情况说明等；</w:t>
      </w:r>
    </w:p>
    <w:p w14:paraId="54FA5334">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（三）其他相关材料。</w:t>
      </w:r>
    </w:p>
    <w:p w14:paraId="7E14F08D">
      <w:pPr>
        <w:spacing w:line="560" w:lineRule="exact"/>
        <w:ind w:right="17" w:firstLine="640" w:firstLineChars="200"/>
        <w:rPr>
          <w:rFonts w:hint="eastAsia" w:ascii="仿宋_GB2312" w:hAnsi="仿宋" w:eastAsia="仿宋_GB2312" w:cs="仿宋"/>
          <w:color w:val="auto"/>
          <w:spacing w:val="2"/>
          <w:sz w:val="32"/>
          <w:szCs w:val="32"/>
          <w:highlight w:val="none"/>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七</w:t>
      </w:r>
      <w:r>
        <w:rPr>
          <w:rFonts w:hint="eastAsia" w:ascii="Times New Roman" w:hAnsi="Times New Roman" w:eastAsia="黑体" w:cs="Times New Roman"/>
          <w:bCs/>
          <w:color w:val="auto"/>
          <w:sz w:val="32"/>
          <w:szCs w:val="32"/>
          <w:highlight w:val="none"/>
        </w:rPr>
        <w:t xml:space="preserve">条  </w:t>
      </w:r>
      <w:r>
        <w:rPr>
          <w:rFonts w:hint="eastAsia" w:ascii="仿宋_GB2312" w:hAnsi="仿宋" w:eastAsia="仿宋_GB2312" w:cs="仿宋"/>
          <w:color w:val="auto"/>
          <w:spacing w:val="2"/>
          <w:sz w:val="32"/>
          <w:szCs w:val="32"/>
          <w:highlight w:val="none"/>
        </w:rPr>
        <w:t>事业单位对外投资应当符合国家和省、市、县有关规定，有利于事业发展和国有资产保值增值，经可行性论证和集体决策，按照规定履行批准程序。</w:t>
      </w:r>
    </w:p>
    <w:p w14:paraId="7EC479AA">
      <w:pPr>
        <w:spacing w:line="560" w:lineRule="exact"/>
        <w:ind w:right="17" w:firstLine="648" w:firstLineChars="200"/>
        <w:rPr>
          <w:rFonts w:hint="eastAsia"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rPr>
        <w:t>事业单位对外投资形成的股权纳入经营性国有资产集中统一监管体系。</w:t>
      </w:r>
    </w:p>
    <w:p w14:paraId="3211DBDC">
      <w:pPr>
        <w:spacing w:line="560" w:lineRule="exact"/>
        <w:ind w:right="17" w:firstLine="648" w:firstLineChars="200"/>
        <w:rPr>
          <w:rFonts w:ascii="仿宋_GB2312" w:hAnsi="仿宋" w:eastAsia="仿宋_GB2312" w:cs="仿宋"/>
          <w:color w:val="auto"/>
          <w:spacing w:val="2"/>
          <w:sz w:val="32"/>
          <w:szCs w:val="32"/>
          <w:highlight w:val="none"/>
        </w:rPr>
      </w:pPr>
      <w:r>
        <w:rPr>
          <w:rFonts w:hint="eastAsia" w:ascii="仿宋_GB2312" w:hAnsi="仿宋" w:eastAsia="仿宋_GB2312" w:cs="仿宋"/>
          <w:color w:val="auto"/>
          <w:spacing w:val="2"/>
          <w:sz w:val="32"/>
          <w:szCs w:val="32"/>
          <w:highlight w:val="none"/>
        </w:rPr>
        <w:t>事业单位用直接支配的行政事业性国有资产对外担保的，应当符合国家规定，经可行性论证和集体决策，报本级财政部门审批。</w:t>
      </w:r>
    </w:p>
    <w:p w14:paraId="001038B7">
      <w:pPr>
        <w:spacing w:line="560" w:lineRule="exact"/>
        <w:ind w:right="17" w:firstLine="640" w:firstLineChars="200"/>
        <w:rPr>
          <w:rFonts w:ascii="Times New Roman" w:hAnsi="Times New Roman" w:eastAsia="仿宋_GB2312" w:cs="Times New Roman"/>
          <w:color w:val="auto"/>
          <w:spacing w:val="0"/>
          <w:w w:val="100"/>
          <w:sz w:val="32"/>
          <w:szCs w:val="32"/>
          <w:highlight w:val="none"/>
          <w:shd w:val="clear" w:color="auto" w:fill="auto"/>
        </w:rPr>
      </w:pPr>
      <w:r>
        <w:rPr>
          <w:rFonts w:hint="eastAsia" w:ascii="Times New Roman" w:hAnsi="Times New Roman" w:eastAsia="黑体" w:cs="Times New Roman"/>
          <w:bCs/>
          <w:color w:val="auto"/>
          <w:sz w:val="32"/>
          <w:szCs w:val="32"/>
          <w:highlight w:val="none"/>
        </w:rPr>
        <w:t>第十</w:t>
      </w:r>
      <w:r>
        <w:rPr>
          <w:rFonts w:hint="eastAsia" w:ascii="Times New Roman" w:hAnsi="Times New Roman" w:eastAsia="黑体" w:cs="Times New Roman"/>
          <w:bCs/>
          <w:color w:val="auto"/>
          <w:sz w:val="32"/>
          <w:szCs w:val="32"/>
          <w:highlight w:val="none"/>
          <w:lang w:val="en-US" w:eastAsia="zh-CN"/>
        </w:rPr>
        <w:t>八</w:t>
      </w:r>
      <w:r>
        <w:rPr>
          <w:rFonts w:hint="eastAsia" w:ascii="Times New Roman" w:hAnsi="Times New Roman" w:eastAsia="黑体" w:cs="Times New Roman"/>
          <w:bCs/>
          <w:color w:val="auto"/>
          <w:sz w:val="32"/>
          <w:szCs w:val="32"/>
          <w:highlight w:val="none"/>
        </w:rPr>
        <w:t xml:space="preserve">条  </w:t>
      </w:r>
      <w:r>
        <w:rPr>
          <w:rFonts w:hint="eastAsia" w:ascii="Times New Roman" w:hAnsi="Times New Roman" w:eastAsia="仿宋_GB2312" w:cs="Times New Roman"/>
          <w:color w:val="auto"/>
          <w:spacing w:val="0"/>
          <w:w w:val="100"/>
          <w:sz w:val="32"/>
          <w:szCs w:val="32"/>
          <w:highlight w:val="none"/>
          <w:shd w:val="clear" w:color="auto" w:fill="auto"/>
          <w:lang w:eastAsia="zh-CN"/>
        </w:rPr>
        <w:t>行政事业单位</w:t>
      </w:r>
      <w:r>
        <w:rPr>
          <w:rFonts w:ascii="Times New Roman" w:hAnsi="Times New Roman" w:eastAsia="仿宋_GB2312" w:cs="Times New Roman"/>
          <w:color w:val="auto"/>
          <w:spacing w:val="0"/>
          <w:w w:val="100"/>
          <w:sz w:val="32"/>
          <w:szCs w:val="32"/>
          <w:highlight w:val="none"/>
          <w:shd w:val="clear" w:color="auto" w:fill="auto"/>
        </w:rPr>
        <w:t>国有资产出租，应当按照公开、公平、公正和市场化原则，原则上通过公共资源交易平台或依法设立的产权交易机构公开进行。其他因特殊原因无法通过公共资源交易平台或依法设立的产权交易机构公开进行的，须说明理由，按规定程序报</w:t>
      </w:r>
      <w:r>
        <w:rPr>
          <w:rFonts w:hint="eastAsia" w:ascii="Times New Roman" w:hAnsi="Times New Roman" w:eastAsia="仿宋_GB2312" w:cs="Times New Roman"/>
          <w:color w:val="auto"/>
          <w:spacing w:val="0"/>
          <w:w w:val="100"/>
          <w:sz w:val="32"/>
          <w:szCs w:val="32"/>
          <w:highlight w:val="none"/>
          <w:shd w:val="clear" w:color="auto" w:fill="auto"/>
          <w:lang w:val="en-US" w:eastAsia="zh-CN"/>
        </w:rPr>
        <w:t>县</w:t>
      </w:r>
      <w:r>
        <w:rPr>
          <w:rFonts w:ascii="Times New Roman" w:hAnsi="Times New Roman" w:eastAsia="仿宋_GB2312" w:cs="Times New Roman"/>
          <w:color w:val="auto"/>
          <w:spacing w:val="0"/>
          <w:w w:val="100"/>
          <w:sz w:val="32"/>
          <w:szCs w:val="32"/>
          <w:highlight w:val="none"/>
          <w:shd w:val="clear" w:color="auto" w:fill="auto"/>
        </w:rPr>
        <w:t>财政</w:t>
      </w:r>
      <w:r>
        <w:rPr>
          <w:rFonts w:hint="eastAsia" w:ascii="Times New Roman" w:hAnsi="Times New Roman" w:eastAsia="仿宋_GB2312" w:cs="Times New Roman"/>
          <w:color w:val="auto"/>
          <w:spacing w:val="0"/>
          <w:w w:val="100"/>
          <w:sz w:val="32"/>
          <w:szCs w:val="32"/>
          <w:highlight w:val="none"/>
          <w:shd w:val="clear" w:color="auto" w:fill="auto"/>
          <w:lang w:val="en-US" w:eastAsia="zh-CN"/>
        </w:rPr>
        <w:t>局</w:t>
      </w:r>
      <w:r>
        <w:rPr>
          <w:rFonts w:ascii="Times New Roman" w:hAnsi="Times New Roman" w:eastAsia="仿宋_GB2312" w:cs="Times New Roman"/>
          <w:color w:val="auto"/>
          <w:spacing w:val="0"/>
          <w:w w:val="100"/>
          <w:sz w:val="32"/>
          <w:szCs w:val="32"/>
          <w:highlight w:val="none"/>
          <w:shd w:val="clear" w:color="auto" w:fill="auto"/>
        </w:rPr>
        <w:t>或</w:t>
      </w:r>
      <w:r>
        <w:rPr>
          <w:rFonts w:hint="eastAsia" w:ascii="Times New Roman" w:hAnsi="Times New Roman" w:eastAsia="仿宋_GB2312" w:cs="Times New Roman"/>
          <w:color w:val="auto"/>
          <w:spacing w:val="0"/>
          <w:w w:val="100"/>
          <w:sz w:val="32"/>
          <w:szCs w:val="32"/>
          <w:highlight w:val="none"/>
          <w:shd w:val="clear" w:color="auto" w:fill="auto"/>
          <w:lang w:val="en-US" w:eastAsia="zh-CN"/>
        </w:rPr>
        <w:t>县</w:t>
      </w:r>
      <w:r>
        <w:rPr>
          <w:rFonts w:ascii="Times New Roman" w:hAnsi="Times New Roman" w:eastAsia="仿宋_GB2312" w:cs="Times New Roman"/>
          <w:color w:val="auto"/>
          <w:spacing w:val="0"/>
          <w:w w:val="100"/>
          <w:sz w:val="32"/>
          <w:szCs w:val="32"/>
          <w:highlight w:val="none"/>
          <w:shd w:val="clear" w:color="auto" w:fill="auto"/>
        </w:rPr>
        <w:t>机关事务管理</w:t>
      </w:r>
      <w:r>
        <w:rPr>
          <w:rFonts w:hint="eastAsia" w:ascii="Times New Roman" w:hAnsi="Times New Roman" w:eastAsia="仿宋_GB2312" w:cs="Times New Roman"/>
          <w:color w:val="auto"/>
          <w:spacing w:val="0"/>
          <w:w w:val="100"/>
          <w:sz w:val="32"/>
          <w:szCs w:val="32"/>
          <w:highlight w:val="none"/>
          <w:shd w:val="clear" w:color="auto" w:fill="auto"/>
          <w:lang w:val="en-US" w:eastAsia="zh-CN"/>
        </w:rPr>
        <w:t>部门</w:t>
      </w:r>
      <w:r>
        <w:rPr>
          <w:rFonts w:ascii="Times New Roman" w:hAnsi="Times New Roman" w:eastAsia="仿宋_GB2312" w:cs="Times New Roman"/>
          <w:color w:val="auto"/>
          <w:spacing w:val="0"/>
          <w:w w:val="100"/>
          <w:sz w:val="32"/>
          <w:szCs w:val="32"/>
          <w:highlight w:val="none"/>
          <w:shd w:val="clear" w:color="auto" w:fill="auto"/>
        </w:rPr>
        <w:t>批准同意后，以其他方式进行出租。</w:t>
      </w:r>
    </w:p>
    <w:p w14:paraId="6A2ACC17">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7"/>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土地、房屋及构筑物面积低于</w:t>
      </w:r>
      <w:r>
        <w:rPr>
          <w:rFonts w:ascii="Times New Roman" w:hAnsi="Times New Roman" w:eastAsia="Times New Roman" w:cs="Times New Roman"/>
          <w:color w:val="auto"/>
          <w:spacing w:val="0"/>
          <w:w w:val="100"/>
          <w:sz w:val="32"/>
          <w:szCs w:val="32"/>
          <w:highlight w:val="none"/>
          <w:shd w:val="clear" w:color="auto" w:fill="auto"/>
        </w:rPr>
        <w:t>50</w:t>
      </w:r>
      <w:r>
        <w:rPr>
          <w:rFonts w:eastAsia="仿宋_GB2312"/>
          <w:color w:val="auto"/>
          <w:spacing w:val="0"/>
          <w:w w:val="100"/>
          <w:sz w:val="32"/>
          <w:szCs w:val="32"/>
          <w:highlight w:val="none"/>
          <w:shd w:val="clear" w:color="auto" w:fill="auto"/>
        </w:rPr>
        <w:t>平方米或季节性、临时性（不超过</w:t>
      </w:r>
      <w:r>
        <w:rPr>
          <w:rFonts w:ascii="Times New Roman" w:hAnsi="Times New Roman" w:eastAsia="Times New Roman" w:cs="Times New Roman"/>
          <w:color w:val="auto"/>
          <w:spacing w:val="0"/>
          <w:w w:val="100"/>
          <w:sz w:val="32"/>
          <w:szCs w:val="32"/>
          <w:highlight w:val="none"/>
          <w:shd w:val="clear" w:color="auto" w:fill="auto"/>
        </w:rPr>
        <w:t>3</w:t>
      </w:r>
      <w:r>
        <w:rPr>
          <w:rFonts w:eastAsia="仿宋_GB2312"/>
          <w:color w:val="auto"/>
          <w:spacing w:val="0"/>
          <w:w w:val="100"/>
          <w:sz w:val="32"/>
          <w:szCs w:val="32"/>
          <w:highlight w:val="none"/>
          <w:shd w:val="clear" w:color="auto" w:fill="auto"/>
        </w:rPr>
        <w:t>个月）的出租事项，行政事业单位可履行内部决策程序后按照规定公开出租。</w:t>
      </w:r>
      <w:r>
        <w:rPr>
          <w:rFonts w:hint="eastAsia" w:eastAsia="仿宋_GB2312"/>
          <w:color w:val="auto"/>
          <w:spacing w:val="0"/>
          <w:w w:val="100"/>
          <w:sz w:val="32"/>
          <w:szCs w:val="32"/>
          <w:highlight w:val="none"/>
          <w:shd w:val="clear" w:color="auto" w:fill="auto"/>
          <w:lang w:eastAsia="zh-CN"/>
        </w:rPr>
        <w:t>行政事业单位</w:t>
      </w:r>
      <w:r>
        <w:rPr>
          <w:rFonts w:eastAsia="仿宋_GB2312"/>
          <w:color w:val="auto"/>
          <w:spacing w:val="0"/>
          <w:w w:val="100"/>
          <w:sz w:val="32"/>
          <w:szCs w:val="32"/>
          <w:highlight w:val="none"/>
          <w:shd w:val="clear" w:color="auto" w:fill="auto"/>
        </w:rPr>
        <w:t>出租国有资产，应当依法依规选择具有资质的资产评估机构进行资产评估，按照“谁审批谁备案”的原则，将资产评估报告报出租行为批准部门备案。</w:t>
      </w:r>
    </w:p>
    <w:p w14:paraId="1EE7698F">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55"/>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除国家和省另有规定外，</w:t>
      </w:r>
      <w:r>
        <w:rPr>
          <w:rFonts w:hint="eastAsia" w:eastAsia="仿宋_GB2312"/>
          <w:color w:val="auto"/>
          <w:spacing w:val="0"/>
          <w:w w:val="100"/>
          <w:sz w:val="32"/>
          <w:szCs w:val="32"/>
          <w:highlight w:val="none"/>
          <w:shd w:val="clear" w:color="auto" w:fill="auto"/>
          <w:lang w:eastAsia="zh-CN"/>
        </w:rPr>
        <w:t>行政事业单位</w:t>
      </w:r>
      <w:r>
        <w:rPr>
          <w:rFonts w:eastAsia="仿宋_GB2312"/>
          <w:color w:val="auto"/>
          <w:spacing w:val="0"/>
          <w:w w:val="100"/>
          <w:sz w:val="32"/>
          <w:szCs w:val="32"/>
          <w:highlight w:val="none"/>
          <w:shd w:val="clear" w:color="auto" w:fill="auto"/>
        </w:rPr>
        <w:t>出租国有资产应当以经备案的资产评估报告所确认的评估价值作为参考依据，首次公开交易挂牌价不得低于备案评估价格。若首次公开交易未征集到意向方，可以不低于评估价格</w:t>
      </w:r>
      <w:r>
        <w:rPr>
          <w:rFonts w:ascii="Times New Roman" w:hAnsi="Times New Roman" w:eastAsia="Times New Roman" w:cs="Times New Roman"/>
          <w:color w:val="auto"/>
          <w:spacing w:val="0"/>
          <w:w w:val="100"/>
          <w:sz w:val="32"/>
          <w:szCs w:val="32"/>
          <w:highlight w:val="none"/>
          <w:shd w:val="clear" w:color="auto" w:fill="auto"/>
        </w:rPr>
        <w:t>90%</w:t>
      </w:r>
      <w:r>
        <w:rPr>
          <w:rFonts w:eastAsia="仿宋_GB2312"/>
          <w:color w:val="auto"/>
          <w:spacing w:val="0"/>
          <w:w w:val="100"/>
          <w:sz w:val="32"/>
          <w:szCs w:val="32"/>
          <w:highlight w:val="none"/>
          <w:shd w:val="clear" w:color="auto" w:fill="auto"/>
        </w:rPr>
        <w:t>再次挂牌；如仍未征集到意向方，经出租行为批准部门备案，可以低于评估价</w:t>
      </w:r>
      <w:r>
        <w:rPr>
          <w:rFonts w:ascii="Times New Roman" w:hAnsi="Times New Roman" w:eastAsia="Times New Roman" w:cs="Times New Roman"/>
          <w:color w:val="auto"/>
          <w:spacing w:val="0"/>
          <w:w w:val="100"/>
          <w:sz w:val="32"/>
          <w:szCs w:val="32"/>
          <w:highlight w:val="none"/>
          <w:shd w:val="clear" w:color="auto" w:fill="auto"/>
        </w:rPr>
        <w:t>80%</w:t>
      </w:r>
      <w:r>
        <w:rPr>
          <w:rFonts w:eastAsia="仿宋_GB2312"/>
          <w:color w:val="auto"/>
          <w:spacing w:val="0"/>
          <w:w w:val="100"/>
          <w:sz w:val="32"/>
          <w:szCs w:val="32"/>
          <w:highlight w:val="none"/>
          <w:shd w:val="clear" w:color="auto" w:fill="auto"/>
        </w:rPr>
        <w:t>继续挂牌。</w:t>
      </w:r>
    </w:p>
    <w:p w14:paraId="439FC191">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55"/>
        <w:jc w:val="both"/>
        <w:textAlignment w:val="baseline"/>
        <w:rPr>
          <w:rFonts w:eastAsia="仿宋_GB2312"/>
          <w:color w:val="auto"/>
          <w:spacing w:val="0"/>
          <w:w w:val="100"/>
          <w:sz w:val="32"/>
          <w:szCs w:val="32"/>
          <w:highlight w:val="none"/>
          <w:shd w:val="clear" w:color="auto" w:fill="auto"/>
        </w:rPr>
      </w:pPr>
      <w:r>
        <w:rPr>
          <w:rFonts w:hint="eastAsia" w:eastAsia="仿宋_GB2312"/>
          <w:color w:val="auto"/>
          <w:spacing w:val="0"/>
          <w:w w:val="100"/>
          <w:sz w:val="32"/>
          <w:szCs w:val="32"/>
          <w:highlight w:val="none"/>
          <w:shd w:val="clear" w:color="auto" w:fill="auto"/>
          <w:lang w:eastAsia="zh-CN"/>
        </w:rPr>
        <w:t>行政事业单位</w:t>
      </w:r>
      <w:r>
        <w:rPr>
          <w:rFonts w:eastAsia="仿宋_GB2312"/>
          <w:color w:val="auto"/>
          <w:spacing w:val="0"/>
          <w:w w:val="100"/>
          <w:sz w:val="32"/>
          <w:szCs w:val="32"/>
          <w:highlight w:val="none"/>
          <w:shd w:val="clear" w:color="auto" w:fill="auto"/>
        </w:rPr>
        <w:t>出租国有资产应当签订符合相关法律、法规规定的合同，明确权利义务，租赁期原则上不得超过</w:t>
      </w:r>
      <w:r>
        <w:rPr>
          <w:rFonts w:ascii="Times New Roman" w:hAnsi="Times New Roman" w:eastAsia="Times New Roman" w:cs="Times New Roman"/>
          <w:color w:val="auto"/>
          <w:spacing w:val="0"/>
          <w:w w:val="100"/>
          <w:sz w:val="32"/>
          <w:szCs w:val="32"/>
          <w:highlight w:val="none"/>
          <w:shd w:val="clear" w:color="auto" w:fill="auto"/>
        </w:rPr>
        <w:t>5</w:t>
      </w:r>
      <w:r>
        <w:rPr>
          <w:rFonts w:eastAsia="仿宋_GB2312"/>
          <w:color w:val="auto"/>
          <w:spacing w:val="0"/>
          <w:w w:val="100"/>
          <w:sz w:val="32"/>
          <w:szCs w:val="32"/>
          <w:highlight w:val="none"/>
          <w:shd w:val="clear" w:color="auto" w:fill="auto"/>
        </w:rPr>
        <w:t>年；利用土地、房产与地方政府合作共建，以及定向出租给国有企事业单位，租赁期可延长至不超过</w:t>
      </w:r>
      <w:r>
        <w:rPr>
          <w:rFonts w:ascii="Times New Roman" w:hAnsi="Times New Roman" w:eastAsia="Times New Roman" w:cs="Times New Roman"/>
          <w:color w:val="auto"/>
          <w:spacing w:val="0"/>
          <w:w w:val="100"/>
          <w:sz w:val="32"/>
          <w:szCs w:val="32"/>
          <w:highlight w:val="none"/>
          <w:shd w:val="clear" w:color="auto" w:fill="auto"/>
        </w:rPr>
        <w:t>10</w:t>
      </w:r>
      <w:r>
        <w:rPr>
          <w:rFonts w:eastAsia="仿宋_GB2312"/>
          <w:color w:val="auto"/>
          <w:spacing w:val="0"/>
          <w:w w:val="100"/>
          <w:sz w:val="32"/>
          <w:szCs w:val="32"/>
          <w:highlight w:val="none"/>
          <w:shd w:val="clear" w:color="auto" w:fill="auto"/>
        </w:rPr>
        <w:t>年；将土地、房产出租给非国有企事业单位面积超过</w:t>
      </w:r>
      <w:r>
        <w:rPr>
          <w:rFonts w:ascii="Times New Roman" w:hAnsi="Times New Roman" w:eastAsia="Times New Roman" w:cs="Times New Roman"/>
          <w:color w:val="auto"/>
          <w:spacing w:val="0"/>
          <w:w w:val="100"/>
          <w:sz w:val="32"/>
          <w:szCs w:val="32"/>
          <w:highlight w:val="none"/>
          <w:shd w:val="clear" w:color="auto" w:fill="auto"/>
        </w:rPr>
        <w:t>3000</w:t>
      </w:r>
      <w:r>
        <w:rPr>
          <w:rFonts w:eastAsia="仿宋_GB2312"/>
          <w:color w:val="auto"/>
          <w:spacing w:val="0"/>
          <w:w w:val="100"/>
          <w:sz w:val="32"/>
          <w:szCs w:val="32"/>
          <w:highlight w:val="none"/>
          <w:shd w:val="clear" w:color="auto" w:fill="auto"/>
        </w:rPr>
        <w:t>平方米且双方商定由承租方装修改造的，租赁期可延长至不超过</w:t>
      </w:r>
      <w:r>
        <w:rPr>
          <w:rFonts w:ascii="Times New Roman" w:hAnsi="Times New Roman" w:eastAsia="Times New Roman" w:cs="Times New Roman"/>
          <w:color w:val="auto"/>
          <w:spacing w:val="0"/>
          <w:w w:val="100"/>
          <w:sz w:val="32"/>
          <w:szCs w:val="32"/>
          <w:highlight w:val="none"/>
          <w:shd w:val="clear" w:color="auto" w:fill="auto"/>
        </w:rPr>
        <w:t>10</w:t>
      </w:r>
      <w:r>
        <w:rPr>
          <w:rFonts w:eastAsia="仿宋_GB2312"/>
          <w:color w:val="auto"/>
          <w:spacing w:val="0"/>
          <w:w w:val="100"/>
          <w:sz w:val="32"/>
          <w:szCs w:val="32"/>
          <w:highlight w:val="none"/>
          <w:shd w:val="clear" w:color="auto" w:fill="auto"/>
        </w:rPr>
        <w:t>年。合同到期后，因特殊情况需要续租的，按照本办法第二章规定的审批权限履行审批程序后可续租</w:t>
      </w:r>
      <w:r>
        <w:rPr>
          <w:rFonts w:ascii="Times New Roman" w:hAnsi="Times New Roman" w:eastAsia="Times New Roman" w:cs="Times New Roman"/>
          <w:color w:val="auto"/>
          <w:spacing w:val="0"/>
          <w:w w:val="100"/>
          <w:sz w:val="32"/>
          <w:szCs w:val="32"/>
          <w:highlight w:val="none"/>
          <w:shd w:val="clear" w:color="auto" w:fill="auto"/>
        </w:rPr>
        <w:t>1</w:t>
      </w:r>
      <w:r>
        <w:rPr>
          <w:rFonts w:eastAsia="仿宋_GB2312"/>
          <w:color w:val="auto"/>
          <w:spacing w:val="0"/>
          <w:w w:val="100"/>
          <w:sz w:val="32"/>
          <w:szCs w:val="32"/>
          <w:highlight w:val="none"/>
          <w:shd w:val="clear" w:color="auto" w:fill="auto"/>
        </w:rPr>
        <w:t>年，最多续租一次，续租价格应当重新评估。</w:t>
      </w:r>
    </w:p>
    <w:p w14:paraId="0220B85F">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9"/>
        <w:jc w:val="both"/>
        <w:textAlignment w:val="baseline"/>
        <w:rPr>
          <w:rFonts w:eastAsia="仿宋_GB2312"/>
          <w:color w:val="auto"/>
          <w:spacing w:val="0"/>
          <w:w w:val="100"/>
          <w:sz w:val="32"/>
          <w:szCs w:val="32"/>
          <w:highlight w:val="none"/>
          <w:shd w:val="clear" w:color="auto" w:fill="auto"/>
        </w:rPr>
      </w:pPr>
      <w:r>
        <w:rPr>
          <w:rFonts w:hint="eastAsia" w:eastAsia="仿宋_GB2312"/>
          <w:color w:val="auto"/>
          <w:spacing w:val="0"/>
          <w:w w:val="100"/>
          <w:sz w:val="32"/>
          <w:szCs w:val="32"/>
          <w:highlight w:val="none"/>
          <w:shd w:val="clear" w:color="auto" w:fill="auto"/>
          <w:lang w:eastAsia="zh-CN"/>
        </w:rPr>
        <w:t>行政事业单位</w:t>
      </w:r>
      <w:r>
        <w:rPr>
          <w:rFonts w:eastAsia="仿宋_GB2312"/>
          <w:color w:val="auto"/>
          <w:spacing w:val="0"/>
          <w:w w:val="100"/>
          <w:sz w:val="32"/>
          <w:szCs w:val="32"/>
          <w:highlight w:val="none"/>
          <w:shd w:val="clear" w:color="auto" w:fill="auto"/>
        </w:rPr>
        <w:t>利用土地、房屋及构筑物、车辆（船）等国有资产以承包、委托运营、共建、合作等方式获取收益的，视同出租行为，应当按照规定履行审批程序。</w:t>
      </w:r>
    </w:p>
    <w:p w14:paraId="193DE09A">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8"/>
        <w:jc w:val="both"/>
        <w:textAlignment w:val="baseline"/>
        <w:rPr>
          <w:rFonts w:eastAsia="仿宋_GB2312"/>
          <w:color w:val="auto"/>
          <w:spacing w:val="0"/>
          <w:w w:val="100"/>
          <w:sz w:val="32"/>
          <w:szCs w:val="32"/>
          <w:highlight w:val="none"/>
          <w:shd w:val="clear" w:color="auto" w:fill="auto"/>
        </w:rPr>
      </w:pPr>
      <w:r>
        <w:rPr>
          <w:rFonts w:hint="eastAsia" w:eastAsia="黑体"/>
          <w:bCs/>
          <w:color w:val="auto"/>
          <w:sz w:val="32"/>
          <w:szCs w:val="32"/>
          <w:highlight w:val="none"/>
        </w:rPr>
        <w:t>第十</w:t>
      </w:r>
      <w:r>
        <w:rPr>
          <w:rFonts w:hint="eastAsia" w:eastAsia="黑体"/>
          <w:bCs/>
          <w:color w:val="auto"/>
          <w:sz w:val="32"/>
          <w:szCs w:val="32"/>
          <w:highlight w:val="none"/>
          <w:lang w:val="en-US" w:eastAsia="zh-CN"/>
        </w:rPr>
        <w:t>九</w:t>
      </w:r>
      <w:r>
        <w:rPr>
          <w:rFonts w:hint="eastAsia" w:eastAsia="黑体"/>
          <w:bCs/>
          <w:color w:val="auto"/>
          <w:sz w:val="32"/>
          <w:szCs w:val="32"/>
          <w:highlight w:val="none"/>
        </w:rPr>
        <w:t xml:space="preserve">条  </w:t>
      </w:r>
      <w:r>
        <w:rPr>
          <w:rFonts w:hint="eastAsia" w:ascii="仿宋_GB2312" w:hAnsi="仿宋" w:eastAsia="仿宋_GB2312" w:cs="仿宋"/>
          <w:color w:val="auto"/>
          <w:spacing w:val="2"/>
          <w:sz w:val="32"/>
          <w:szCs w:val="32"/>
          <w:highlight w:val="none"/>
        </w:rPr>
        <w:t>各主管部门及其</w:t>
      </w:r>
      <w:r>
        <w:rPr>
          <w:rFonts w:hint="eastAsia" w:ascii="仿宋_GB2312" w:hAnsi="仿宋" w:eastAsia="仿宋_GB2312" w:cs="仿宋"/>
          <w:color w:val="auto"/>
          <w:spacing w:val="2"/>
          <w:sz w:val="32"/>
          <w:szCs w:val="32"/>
          <w:highlight w:val="none"/>
          <w:lang w:eastAsia="zh-CN"/>
        </w:rPr>
        <w:t>所属单位</w:t>
      </w:r>
      <w:r>
        <w:rPr>
          <w:rFonts w:eastAsia="仿宋_GB2312"/>
          <w:color w:val="auto"/>
          <w:spacing w:val="0"/>
          <w:w w:val="100"/>
          <w:sz w:val="32"/>
          <w:szCs w:val="32"/>
          <w:highlight w:val="none"/>
          <w:shd w:val="clear" w:color="auto" w:fill="auto"/>
        </w:rPr>
        <w:t>除法律另有规定外，</w:t>
      </w:r>
      <w:r>
        <w:rPr>
          <w:rFonts w:hint="eastAsia" w:eastAsia="仿宋_GB2312"/>
          <w:color w:val="auto"/>
          <w:spacing w:val="0"/>
          <w:w w:val="100"/>
          <w:sz w:val="32"/>
          <w:szCs w:val="32"/>
          <w:highlight w:val="none"/>
          <w:shd w:val="clear" w:color="auto" w:fill="auto"/>
          <w:lang w:val="en-US" w:eastAsia="zh-CN"/>
        </w:rPr>
        <w:t>县</w:t>
      </w:r>
      <w:r>
        <w:rPr>
          <w:rFonts w:eastAsia="仿宋_GB2312"/>
          <w:color w:val="auto"/>
          <w:spacing w:val="0"/>
          <w:w w:val="100"/>
          <w:sz w:val="32"/>
          <w:szCs w:val="32"/>
          <w:highlight w:val="none"/>
          <w:shd w:val="clear" w:color="auto" w:fill="auto"/>
        </w:rPr>
        <w:t>级行政单位不得以任何形式将国有资产用于对外投资、担保或者设立营利性组织。</w:t>
      </w:r>
    </w:p>
    <w:p w14:paraId="392077A8">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5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事业单位对外投资应当符合国家和省有关规定，有利于事业发展和国有资产保值增值，经可行性论证和集体决策，按照审批权限履行批准程序，未经批准不得对外投资。事业单位原则上不得再投资新设企业。对外投资的国有资产应当权属清晰且不存在纠纷，除国家另有规定外，不得利用财政拨款、财政拨款结转结余资金对外投资，严格控制货币资金对外投资。</w:t>
      </w:r>
    </w:p>
    <w:p w14:paraId="78294263">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5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事业单位对外投资形成的国有资产，应当依照国家统一的会计制度进行核算，不得将对外投资在往来款科目核算，不得形成账外资产。</w:t>
      </w:r>
    </w:p>
    <w:p w14:paraId="5C79590B">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9"/>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事业单位申请对外投资的，应当提交下列材料，并对材料的真实性、有效性、准确性负责：</w:t>
      </w:r>
    </w:p>
    <w:p w14:paraId="4BEA0D7D">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（一）申请文件及单位内部集体决策有关决议或会议纪要；</w:t>
      </w:r>
    </w:p>
    <w:p w14:paraId="2855104D">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（二）拟投资资产的价值凭证及权属证明；</w:t>
      </w:r>
    </w:p>
    <w:p w14:paraId="18E942DC">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1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（三）对外投资可行性论证报告，包括必要性、可行性、风险分析及预期收益情况等；</w:t>
      </w:r>
    </w:p>
    <w:p w14:paraId="606367EF">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597"/>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（四）和其他单位共同出资的，还应当提交其他拟出资人的法人证书或营业执照复印件，以及与其他拟出资人签订的投资意向书、协议或合同草案；</w:t>
      </w:r>
    </w:p>
    <w:p w14:paraId="6060302D">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（五）其他相关材料。</w:t>
      </w:r>
    </w:p>
    <w:p w14:paraId="59072514">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事业单位不得从事以下对外投资事项：</w:t>
      </w:r>
    </w:p>
    <w:p w14:paraId="4D16CC8A">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（一）买卖股票、期货；</w:t>
      </w:r>
    </w:p>
    <w:p w14:paraId="3ED3B1C4">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09"/>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（二）购买各种企业（公司）债券、各类投资基金和其他任何形式的金融衍生品，或者进行任何形式的金融风险投资；</w:t>
      </w:r>
    </w:p>
    <w:p w14:paraId="3A175B10">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09"/>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（三）利用国外贷款的事业单位，在国外债务尚未清偿前利用该贷款形成的国有资产对外投资；</w:t>
      </w:r>
    </w:p>
    <w:p w14:paraId="31D91164">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0" w:firstLineChars="200"/>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（四）其他违反法律、行政法规规定的。</w:t>
      </w:r>
    </w:p>
    <w:p w14:paraId="5D7A128A">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52"/>
        <w:jc w:val="both"/>
        <w:textAlignment w:val="baseline"/>
        <w:rPr>
          <w:rFonts w:eastAsia="仿宋_GB2312"/>
          <w:color w:val="auto"/>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事业单位转让（减持）对外投资形成的股权，按照</w:t>
      </w:r>
      <w:r>
        <w:rPr>
          <w:rFonts w:hint="eastAsia" w:eastAsia="仿宋_GB2312"/>
          <w:color w:val="auto"/>
          <w:spacing w:val="0"/>
          <w:w w:val="100"/>
          <w:sz w:val="32"/>
          <w:szCs w:val="32"/>
          <w:highlight w:val="none"/>
          <w:shd w:val="clear" w:color="auto" w:fill="auto"/>
          <w:lang w:val="en-US" w:eastAsia="zh-CN"/>
        </w:rPr>
        <w:t>灌云县县</w:t>
      </w:r>
      <w:r>
        <w:rPr>
          <w:rFonts w:eastAsia="仿宋_GB2312"/>
          <w:color w:val="auto"/>
          <w:spacing w:val="0"/>
          <w:w w:val="100"/>
          <w:sz w:val="32"/>
          <w:szCs w:val="32"/>
          <w:highlight w:val="none"/>
          <w:shd w:val="clear" w:color="auto" w:fill="auto"/>
        </w:rPr>
        <w:t>级行政事业性国有资产处置管理的有关规定执行。</w:t>
      </w:r>
    </w:p>
    <w:p w14:paraId="506A2D27">
      <w:pPr>
        <w:pStyle w:val="3"/>
        <w:keepNext w:val="0"/>
        <w:keepLines w:val="0"/>
        <w:pageBreakBefore w:val="0"/>
        <w:widowControl w:val="0"/>
        <w:kinsoku/>
        <w:wordWrap/>
        <w:overflowPunct w:val="0"/>
        <w:topLinePunct w:val="0"/>
        <w:autoSpaceDE/>
        <w:autoSpaceDN/>
        <w:bidi w:val="0"/>
        <w:adjustRightInd w:val="0"/>
        <w:snapToGrid w:val="0"/>
        <w:spacing w:line="540" w:lineRule="exact"/>
        <w:ind w:left="0" w:right="0" w:firstLine="644"/>
        <w:jc w:val="both"/>
        <w:textAlignment w:val="baseline"/>
        <w:rPr>
          <w:rFonts w:eastAsia="仿宋_GB2312"/>
          <w:color w:val="000000"/>
          <w:spacing w:val="0"/>
          <w:w w:val="100"/>
          <w:sz w:val="32"/>
          <w:szCs w:val="32"/>
          <w:highlight w:val="none"/>
          <w:shd w:val="clear" w:color="auto" w:fill="auto"/>
        </w:rPr>
      </w:pPr>
      <w:r>
        <w:rPr>
          <w:rFonts w:eastAsia="仿宋_GB2312"/>
          <w:color w:val="auto"/>
          <w:spacing w:val="0"/>
          <w:w w:val="100"/>
          <w:sz w:val="32"/>
          <w:szCs w:val="32"/>
          <w:highlight w:val="none"/>
          <w:shd w:val="clear" w:color="auto" w:fill="auto"/>
        </w:rPr>
        <w:t>纳入</w:t>
      </w:r>
      <w:r>
        <w:rPr>
          <w:rFonts w:hint="eastAsia" w:eastAsia="仿宋_GB2312"/>
          <w:color w:val="auto"/>
          <w:spacing w:val="0"/>
          <w:w w:val="100"/>
          <w:sz w:val="32"/>
          <w:szCs w:val="32"/>
          <w:highlight w:val="none"/>
          <w:shd w:val="clear" w:color="auto" w:fill="auto"/>
          <w:lang w:val="en-US" w:eastAsia="zh-CN"/>
        </w:rPr>
        <w:t>县</w:t>
      </w:r>
      <w:r>
        <w:rPr>
          <w:rFonts w:eastAsia="仿宋_GB2312"/>
          <w:color w:val="auto"/>
          <w:spacing w:val="0"/>
          <w:w w:val="100"/>
          <w:sz w:val="32"/>
          <w:szCs w:val="32"/>
          <w:highlight w:val="none"/>
          <w:shd w:val="clear" w:color="auto" w:fill="auto"/>
        </w:rPr>
        <w:t>级部门预算管理的行政事业单位取得的国有资产使用收入，在扣除税金、资产评估费等相关费用后，按照有关规定及时上缴</w:t>
      </w:r>
      <w:r>
        <w:rPr>
          <w:rFonts w:hint="eastAsia" w:eastAsia="仿宋_GB2312"/>
          <w:color w:val="auto"/>
          <w:spacing w:val="0"/>
          <w:w w:val="100"/>
          <w:sz w:val="32"/>
          <w:szCs w:val="32"/>
          <w:highlight w:val="none"/>
          <w:shd w:val="clear" w:color="auto" w:fill="auto"/>
          <w:lang w:val="en-US" w:eastAsia="zh-CN"/>
        </w:rPr>
        <w:t>县</w:t>
      </w:r>
      <w:r>
        <w:rPr>
          <w:rFonts w:eastAsia="仿宋_GB2312"/>
          <w:color w:val="auto"/>
          <w:spacing w:val="0"/>
          <w:w w:val="100"/>
          <w:sz w:val="32"/>
          <w:szCs w:val="32"/>
          <w:highlight w:val="none"/>
          <w:shd w:val="clear" w:color="auto" w:fill="auto"/>
        </w:rPr>
        <w:t>级财政，实行收支两条线管理；未纳入</w:t>
      </w:r>
      <w:r>
        <w:rPr>
          <w:rFonts w:hint="eastAsia" w:eastAsia="仿宋_GB2312"/>
          <w:color w:val="000000"/>
          <w:spacing w:val="0"/>
          <w:w w:val="100"/>
          <w:sz w:val="32"/>
          <w:szCs w:val="32"/>
          <w:highlight w:val="none"/>
          <w:shd w:val="clear" w:color="auto" w:fill="auto"/>
          <w:lang w:val="en-US" w:eastAsia="zh-CN"/>
        </w:rPr>
        <w:t>县</w:t>
      </w:r>
      <w:r>
        <w:rPr>
          <w:rFonts w:eastAsia="仿宋_GB2312"/>
          <w:color w:val="000000"/>
          <w:spacing w:val="0"/>
          <w:w w:val="100"/>
          <w:sz w:val="32"/>
          <w:szCs w:val="32"/>
          <w:highlight w:val="none"/>
          <w:shd w:val="clear" w:color="auto" w:fill="auto"/>
        </w:rPr>
        <w:t>级部门预算管理的事业单位国有资产使用收入，纳入单位预算，统一核算，统一管理。</w:t>
      </w:r>
    </w:p>
    <w:p w14:paraId="4492D60A">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二</w:t>
      </w:r>
      <w:r>
        <w:rPr>
          <w:rFonts w:hint="eastAsia" w:ascii="Times New Roman" w:hAnsi="Times New Roman" w:eastAsia="黑体" w:cs="Times New Roman"/>
          <w:bCs/>
          <w:color w:val="auto"/>
          <w:sz w:val="32"/>
          <w:szCs w:val="32"/>
        </w:rPr>
        <w:t xml:space="preserve">十条  </w:t>
      </w:r>
      <w:r>
        <w:rPr>
          <w:rFonts w:hint="eastAsia" w:ascii="仿宋_GB2312" w:hAnsi="仿宋" w:eastAsia="仿宋_GB2312" w:cs="仿宋"/>
          <w:color w:val="auto"/>
          <w:spacing w:val="2"/>
          <w:sz w:val="32"/>
          <w:szCs w:val="32"/>
        </w:rPr>
        <w:t>各主管部门及其所属单位应当对下列资产及时予以报废、报损：</w:t>
      </w:r>
    </w:p>
    <w:p w14:paraId="2381EB8C">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（一）因技术原因确需淘汰或者无法维修、无维修价值的资产；</w:t>
      </w:r>
    </w:p>
    <w:p w14:paraId="28BADFF7">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（二）涉及盘亏、坏账以及非正常损失的资产；</w:t>
      </w:r>
    </w:p>
    <w:p w14:paraId="6958F3BE">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（三）已超过使用年限且无法满足现有工作需要的资产；</w:t>
      </w:r>
    </w:p>
    <w:p w14:paraId="13496F60">
      <w:pPr>
        <w:spacing w:line="560" w:lineRule="exact"/>
        <w:ind w:right="17"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（四）因自然灾害等不可抗力造成毁损、灭失的资产。</w:t>
      </w:r>
    </w:p>
    <w:p w14:paraId="5F92114A">
      <w:pPr>
        <w:spacing w:line="560" w:lineRule="exact"/>
        <w:ind w:right="17"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一</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行政事业性国有资产的转让、置换，应当通过公共资源交易平台或者有资质的产权交易机构采取拍卖、招标投标、协议转让以及法律法规规定的其他方式进行</w:t>
      </w:r>
      <w:r>
        <w:rPr>
          <w:rFonts w:hint="eastAsia" w:ascii="仿宋_GB2312" w:hAnsi="仿宋" w:eastAsia="仿宋_GB2312" w:cs="仿宋"/>
          <w:color w:val="auto"/>
          <w:spacing w:val="2"/>
          <w:sz w:val="32"/>
          <w:szCs w:val="32"/>
          <w:lang w:eastAsia="zh-CN"/>
        </w:rPr>
        <w:t>，</w:t>
      </w:r>
      <w:r>
        <w:rPr>
          <w:rFonts w:hint="eastAsia" w:ascii="仿宋_GB2312" w:hAnsi="仿宋" w:eastAsia="仿宋_GB2312" w:cs="仿宋"/>
          <w:color w:val="auto"/>
          <w:spacing w:val="2"/>
          <w:sz w:val="32"/>
          <w:szCs w:val="32"/>
          <w:lang w:val="en-US" w:eastAsia="zh-CN"/>
        </w:rPr>
        <w:t>鼓励通过网络拍卖等方式处置</w:t>
      </w:r>
      <w:r>
        <w:rPr>
          <w:rFonts w:hint="eastAsia" w:ascii="仿宋_GB2312" w:hAnsi="仿宋" w:eastAsia="仿宋_GB2312" w:cs="仿宋"/>
          <w:color w:val="auto"/>
          <w:spacing w:val="2"/>
          <w:sz w:val="32"/>
          <w:szCs w:val="32"/>
        </w:rPr>
        <w:t>。</w:t>
      </w:r>
    </w:p>
    <w:p w14:paraId="71381DC8">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确实不具备使用价值的待处置资产，可以不按照前款规定进行处置。</w:t>
      </w:r>
    </w:p>
    <w:p w14:paraId="30A2C352">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二</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各主管部门及其所属单位处置的电子废弃物以及涉密资产应当统一回收，专业处置。电子废弃物由具备专业资质的单位处理，涉密资产由保密部门集中处置。</w:t>
      </w:r>
    </w:p>
    <w:p w14:paraId="314B9094">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三</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各主管部门及其所属单位发生分立、合并、改制、撤销、隶属关系改变或者部分职能、业务调整以及其他导致资产发生产权变动的情形，应当及时办理相关国有资产划转、交接手续。</w:t>
      </w:r>
    </w:p>
    <w:p w14:paraId="7C4DA952">
      <w:pPr>
        <w:spacing w:line="560" w:lineRule="exact"/>
        <w:ind w:right="17"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四</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行政事业单位对外捐赠应当利用本单位闲置资产或者淘汰且具有使用价值的资产，不得新购资产用于对外捐赠。同一部门上下级单位之间和部门所属单位之间，不得相互捐赠资产。</w:t>
      </w:r>
    </w:p>
    <w:p w14:paraId="779A2CAF">
      <w:pPr>
        <w:spacing w:line="560" w:lineRule="exact"/>
        <w:ind w:right="17" w:firstLine="648" w:firstLineChars="200"/>
        <w:rPr>
          <w:rFonts w:hint="eastAsia" w:ascii="仿宋_GB2312" w:hAnsi="仿宋" w:eastAsia="仿宋_GB2312" w:cs="仿宋"/>
          <w:color w:val="auto"/>
          <w:spacing w:val="2"/>
          <w:sz w:val="32"/>
          <w:szCs w:val="32"/>
        </w:rPr>
      </w:pPr>
    </w:p>
    <w:p w14:paraId="54915D95">
      <w:pPr>
        <w:spacing w:line="560" w:lineRule="exact"/>
        <w:ind w:right="17"/>
        <w:jc w:val="center"/>
        <w:rPr>
          <w:rFonts w:ascii="黑体" w:hAnsi="黑体" w:eastAsia="黑体" w:cs="仿宋"/>
          <w:color w:val="auto"/>
          <w:spacing w:val="2"/>
          <w:sz w:val="32"/>
          <w:szCs w:val="32"/>
        </w:rPr>
      </w:pPr>
      <w:r>
        <w:rPr>
          <w:rFonts w:hint="eastAsia" w:ascii="黑体" w:hAnsi="黑体" w:eastAsia="黑体" w:cs="仿宋"/>
          <w:color w:val="auto"/>
          <w:spacing w:val="2"/>
          <w:sz w:val="32"/>
          <w:szCs w:val="32"/>
        </w:rPr>
        <w:t>第三章 预算管理</w:t>
      </w:r>
    </w:p>
    <w:p w14:paraId="288D7F89">
      <w:pPr>
        <w:spacing w:line="560" w:lineRule="exact"/>
        <w:ind w:right="17" w:firstLine="648" w:firstLineChars="200"/>
        <w:jc w:val="center"/>
        <w:rPr>
          <w:rFonts w:hint="eastAsia" w:ascii="黑体" w:hAnsi="黑体" w:eastAsia="黑体" w:cs="仿宋"/>
          <w:color w:val="auto"/>
          <w:spacing w:val="2"/>
          <w:sz w:val="32"/>
          <w:szCs w:val="32"/>
        </w:rPr>
      </w:pPr>
    </w:p>
    <w:p w14:paraId="548B1CD2">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五</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各主管部门及其所属单位购置、建设、租用资产应当提出资产配置需求，编制资产配置相关支出预算，并严格按照预算管理规定和财政部门批复的预算配置资产。</w:t>
      </w:r>
    </w:p>
    <w:p w14:paraId="059248FB">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六</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县政府投资建设公共基础设施，应当依法落实资金来源，加强预算约束，防范政府债务风险，并明确公共基础设施的管理维护责任单位。</w:t>
      </w:r>
    </w:p>
    <w:p w14:paraId="21D4AC99">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七</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行政事业性国有资产使用和处置等收益，依法按照政府非税收入和国库集中收缴制度的有关规定管理。</w:t>
      </w:r>
    </w:p>
    <w:p w14:paraId="5AC50829">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八</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各主管部门及其所属单位应当及时收取各类资产收入，不得违反国家规定多收、少收、不收、侵占、私分、截留、占用、挪用、隐匿、坐支。</w:t>
      </w:r>
    </w:p>
    <w:p w14:paraId="3C4238AF">
      <w:pPr>
        <w:spacing w:line="560" w:lineRule="exact"/>
        <w:ind w:right="17" w:firstLine="640" w:firstLineChars="200"/>
        <w:rPr>
          <w:rFonts w:hint="eastAsia" w:ascii="仿宋_GB2312" w:hAnsi="仿宋" w:eastAsia="仿宋_GB2312" w:cs="仿宋"/>
          <w:color w:val="auto"/>
          <w:spacing w:val="0"/>
          <w:sz w:val="32"/>
          <w:szCs w:val="32"/>
        </w:rPr>
      </w:pPr>
      <w:r>
        <w:rPr>
          <w:rFonts w:hint="eastAsia" w:ascii="Times New Roman" w:hAnsi="Times New Roman" w:eastAsia="黑体" w:cs="Times New Roman"/>
          <w:bCs/>
          <w:color w:val="auto"/>
          <w:sz w:val="32"/>
          <w:szCs w:val="32"/>
        </w:rPr>
        <w:t>第二十</w:t>
      </w:r>
      <w:r>
        <w:rPr>
          <w:rFonts w:hint="eastAsia" w:ascii="Times New Roman" w:hAnsi="Times New Roman" w:eastAsia="黑体" w:cs="Times New Roman"/>
          <w:bCs/>
          <w:color w:val="auto"/>
          <w:sz w:val="32"/>
          <w:szCs w:val="32"/>
          <w:lang w:val="en-US" w:eastAsia="zh-CN"/>
        </w:rPr>
        <w:t>九</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各主管部门及其所属单位应当在决算中全</w:t>
      </w:r>
      <w:r>
        <w:rPr>
          <w:rFonts w:hint="eastAsia" w:ascii="仿宋_GB2312" w:hAnsi="仿宋" w:eastAsia="仿宋_GB2312" w:cs="仿宋"/>
          <w:color w:val="auto"/>
          <w:spacing w:val="0"/>
          <w:sz w:val="32"/>
          <w:szCs w:val="32"/>
        </w:rPr>
        <w:t>面、真实、准确反映国有资产收入、支出以及国有资产存量情况。</w:t>
      </w:r>
    </w:p>
    <w:p w14:paraId="687A829C">
      <w:pPr>
        <w:spacing w:line="560" w:lineRule="exact"/>
        <w:ind w:right="17"/>
        <w:jc w:val="center"/>
        <w:rPr>
          <w:rFonts w:hint="eastAsia" w:ascii="黑体" w:hAnsi="黑体" w:eastAsia="黑体" w:cs="仿宋"/>
          <w:color w:val="auto"/>
          <w:spacing w:val="2"/>
          <w:sz w:val="32"/>
          <w:szCs w:val="32"/>
        </w:rPr>
      </w:pPr>
    </w:p>
    <w:p w14:paraId="1AE12181">
      <w:pPr>
        <w:spacing w:line="560" w:lineRule="exact"/>
        <w:ind w:right="17"/>
        <w:jc w:val="center"/>
        <w:rPr>
          <w:rFonts w:ascii="黑体" w:hAnsi="黑体" w:eastAsia="黑体" w:cs="仿宋"/>
          <w:color w:val="auto"/>
          <w:spacing w:val="2"/>
          <w:sz w:val="32"/>
          <w:szCs w:val="32"/>
        </w:rPr>
      </w:pPr>
      <w:r>
        <w:rPr>
          <w:rFonts w:hint="eastAsia" w:ascii="黑体" w:hAnsi="黑体" w:eastAsia="黑体" w:cs="仿宋"/>
          <w:color w:val="auto"/>
          <w:spacing w:val="2"/>
          <w:sz w:val="32"/>
          <w:szCs w:val="32"/>
        </w:rPr>
        <w:t>第四章 基础管理</w:t>
      </w:r>
    </w:p>
    <w:p w14:paraId="6ED15549">
      <w:pPr>
        <w:spacing w:line="560" w:lineRule="exact"/>
        <w:ind w:right="17" w:firstLine="648" w:firstLineChars="200"/>
        <w:jc w:val="center"/>
        <w:rPr>
          <w:rFonts w:hint="eastAsia" w:ascii="黑体" w:hAnsi="黑体" w:eastAsia="黑体" w:cs="仿宋"/>
          <w:color w:val="auto"/>
          <w:spacing w:val="2"/>
          <w:sz w:val="32"/>
          <w:szCs w:val="32"/>
        </w:rPr>
      </w:pPr>
    </w:p>
    <w:p w14:paraId="30FFE368">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三</w:t>
      </w:r>
      <w:r>
        <w:rPr>
          <w:rFonts w:hint="eastAsia" w:ascii="Times New Roman" w:hAnsi="Times New Roman" w:eastAsia="黑体" w:cs="Times New Roman"/>
          <w:bCs/>
          <w:color w:val="auto"/>
          <w:sz w:val="32"/>
          <w:szCs w:val="32"/>
        </w:rPr>
        <w:t xml:space="preserve">十条  </w:t>
      </w:r>
      <w:r>
        <w:rPr>
          <w:rFonts w:hint="eastAsia" w:ascii="仿宋_GB2312" w:hAnsi="仿宋" w:eastAsia="仿宋_GB2312" w:cs="仿宋"/>
          <w:color w:val="auto"/>
          <w:spacing w:val="2"/>
          <w:sz w:val="32"/>
          <w:szCs w:val="32"/>
        </w:rPr>
        <w:t>各主管部门及其所属单位应当</w:t>
      </w:r>
      <w:r>
        <w:rPr>
          <w:rFonts w:ascii="Times New Roman" w:hAnsi="Times New Roman" w:eastAsia="仿宋_GB2312" w:cs="Times New Roman"/>
          <w:color w:val="000000"/>
          <w:spacing w:val="0"/>
          <w:w w:val="100"/>
          <w:sz w:val="32"/>
          <w:szCs w:val="32"/>
          <w:highlight w:val="none"/>
          <w:shd w:val="clear" w:color="auto" w:fill="auto"/>
        </w:rPr>
        <w:t>按照规定格式建立资产台账，填写资产基本信息、财务信息、使用信息、特性信息等。对地方政府专项债券投资项目形成资产等，应当按规定进行标识并完善相关台账信息。对于权证手续不全</w:t>
      </w:r>
      <w:r>
        <w:rPr>
          <w:rFonts w:hint="eastAsia" w:ascii="Times New Roman" w:hAnsi="Times New Roman" w:eastAsia="仿宋_GB2312" w:cs="Times New Roman"/>
          <w:color w:val="000000"/>
          <w:spacing w:val="0"/>
          <w:w w:val="100"/>
          <w:sz w:val="32"/>
          <w:szCs w:val="32"/>
          <w:highlight w:val="none"/>
          <w:shd w:val="clear" w:color="auto" w:fill="auto"/>
          <w:lang w:eastAsia="zh-CN"/>
        </w:rPr>
        <w:t>，</w:t>
      </w:r>
      <w:r>
        <w:rPr>
          <w:rFonts w:ascii="Times New Roman" w:hAnsi="Times New Roman" w:eastAsia="仿宋_GB2312" w:cs="Times New Roman"/>
          <w:color w:val="000000"/>
          <w:spacing w:val="0"/>
          <w:w w:val="100"/>
          <w:sz w:val="32"/>
          <w:szCs w:val="32"/>
          <w:highlight w:val="none"/>
          <w:shd w:val="clear" w:color="auto" w:fill="auto"/>
        </w:rPr>
        <w:t>但长期占有使用并实际控制的国有资产，应当建立并登记资产台账。</w:t>
      </w:r>
      <w:r>
        <w:rPr>
          <w:rFonts w:hint="eastAsia" w:ascii="仿宋_GB2312" w:hAnsi="仿宋" w:eastAsia="仿宋_GB2312" w:cs="仿宋"/>
          <w:color w:val="auto"/>
          <w:spacing w:val="2"/>
          <w:sz w:val="32"/>
          <w:szCs w:val="32"/>
        </w:rPr>
        <w:t>依照国家统一的会计制度进行会计核算，不得形成账外资产；处置资产应当及时核销相关台账信息，同时进行会计处理和信息系统处理；定期或者不定期对资产进行盘点、对账，出现资产盘亏盘盈的，应当按照财务、会计和资产管理制度有关规定处理，做到账实相符和账账相符。</w:t>
      </w:r>
    </w:p>
    <w:p w14:paraId="235255CF">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38"/>
        <w:jc w:val="both"/>
        <w:textAlignment w:val="baseline"/>
        <w:rPr>
          <w:rFonts w:eastAsia="仿宋_GB2312"/>
          <w:color w:val="000000"/>
          <w:spacing w:val="0"/>
          <w:w w:val="100"/>
          <w:sz w:val="32"/>
          <w:szCs w:val="32"/>
          <w:highlight w:val="none"/>
          <w:shd w:val="clear" w:color="auto" w:fill="auto"/>
        </w:rPr>
      </w:pPr>
      <w:r>
        <w:rPr>
          <w:rFonts w:hint="eastAsia" w:eastAsia="黑体"/>
          <w:bCs/>
          <w:color w:val="auto"/>
          <w:sz w:val="32"/>
          <w:szCs w:val="32"/>
        </w:rPr>
        <w:t>第三十</w:t>
      </w:r>
      <w:r>
        <w:rPr>
          <w:rFonts w:hint="eastAsia" w:eastAsia="黑体"/>
          <w:bCs/>
          <w:color w:val="auto"/>
          <w:sz w:val="32"/>
          <w:szCs w:val="32"/>
          <w:lang w:val="en-US" w:eastAsia="zh-CN"/>
        </w:rPr>
        <w:t>一</w:t>
      </w:r>
      <w:r>
        <w:rPr>
          <w:rFonts w:hint="eastAsia" w:eastAsia="黑体"/>
          <w:bCs/>
          <w:color w:val="auto"/>
          <w:sz w:val="32"/>
          <w:szCs w:val="32"/>
        </w:rPr>
        <w:t xml:space="preserve">条  </w:t>
      </w:r>
      <w:r>
        <w:rPr>
          <w:rFonts w:hint="eastAsia" w:ascii="仿宋_GB2312" w:hAnsi="仿宋" w:eastAsia="仿宋_GB2312" w:cs="仿宋"/>
          <w:color w:val="auto"/>
          <w:spacing w:val="2"/>
          <w:sz w:val="32"/>
          <w:szCs w:val="32"/>
        </w:rPr>
        <w:t>各主管部门及其所属单位采用建设方式配置资产的，应当在建设项目竣工验收合格后及时办理资产交付手续，并在规定期限内办理竣工财务决算，期限最长不得超过1年。各主管部门及其所属单位对已交付但未办理竣工财务决算的建设项目，应当按照国家统一的会计制度确认资产价值</w:t>
      </w:r>
      <w:r>
        <w:rPr>
          <w:rFonts w:hint="eastAsia" w:ascii="仿宋_GB2312" w:hAnsi="仿宋" w:eastAsia="仿宋_GB2312" w:cs="仿宋"/>
          <w:color w:val="auto"/>
          <w:spacing w:val="2"/>
          <w:sz w:val="32"/>
          <w:szCs w:val="32"/>
          <w:lang w:eastAsia="zh-CN"/>
        </w:rPr>
        <w:t>，</w:t>
      </w:r>
      <w:r>
        <w:rPr>
          <w:rFonts w:eastAsia="仿宋_GB2312"/>
          <w:color w:val="000000"/>
          <w:spacing w:val="0"/>
          <w:w w:val="100"/>
          <w:sz w:val="32"/>
          <w:szCs w:val="32"/>
          <w:highlight w:val="none"/>
          <w:shd w:val="clear" w:color="auto" w:fill="auto"/>
        </w:rPr>
        <w:t>转入固定资产、公共基础设施等，待办理</w:t>
      </w:r>
      <w:r>
        <w:rPr>
          <w:rFonts w:hint="eastAsia" w:eastAsia="仿宋_GB2312"/>
          <w:color w:val="000000"/>
          <w:spacing w:val="0"/>
          <w:w w:val="100"/>
          <w:sz w:val="32"/>
          <w:szCs w:val="32"/>
          <w:highlight w:val="none"/>
          <w:shd w:val="clear" w:color="auto" w:fill="auto"/>
          <w:lang w:eastAsia="zh-CN"/>
        </w:rPr>
        <w:t>竣工</w:t>
      </w:r>
      <w:r>
        <w:rPr>
          <w:rFonts w:eastAsia="仿宋_GB2312"/>
          <w:color w:val="000000"/>
          <w:spacing w:val="0"/>
          <w:w w:val="100"/>
          <w:sz w:val="32"/>
          <w:szCs w:val="32"/>
          <w:highlight w:val="none"/>
          <w:shd w:val="clear" w:color="auto" w:fill="auto"/>
        </w:rPr>
        <w:t>财务决算后再按照实际成本调整原来的暂估价值。</w:t>
      </w:r>
    </w:p>
    <w:p w14:paraId="133CF3EE">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二</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有下列情形之一，各主管部门及其所属单位应当委托资产评估机构对国有资产进行评估，或者组织专家参照资产评估方法进行评估，合理确定资产价值：</w:t>
      </w:r>
    </w:p>
    <w:p w14:paraId="56AAA726">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（一）资产用于拍卖、有偿转让、置换、出租的；</w:t>
      </w:r>
    </w:p>
    <w:p w14:paraId="23D8B8DF">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（二）确定涉诉资产价值或者当资产遭受重大损害需要计提资产损失的；</w:t>
      </w:r>
    </w:p>
    <w:p w14:paraId="5D26E58B">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（三）以非货币性资产对外投资、担保的；</w:t>
      </w:r>
    </w:p>
    <w:p w14:paraId="46F571E9">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（四）事业单位分立、合并、撤销、改制，财政部门确认需要进行评估的；</w:t>
      </w:r>
    </w:p>
    <w:p w14:paraId="36AD5783">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（五）需要进行资产评估的其他情形。</w:t>
      </w:r>
    </w:p>
    <w:p w14:paraId="1B54295E">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三</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行政事业性国有资产评估项目实行核准制和备案制，核准和备案工作按照国家和省、市、县有关规定执行。</w:t>
      </w:r>
    </w:p>
    <w:p w14:paraId="07AE3D64">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四</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有下列情形之一，应当进行资产清查：</w:t>
      </w:r>
    </w:p>
    <w:p w14:paraId="487DEDDA">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（一）县政府部署要求的；</w:t>
      </w:r>
    </w:p>
    <w:p w14:paraId="029B3E11">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（二）发生重大资产调拨、划转以及行政事业单位分立、合并、改制、撤销、隶属关系改变等情形的；</w:t>
      </w:r>
    </w:p>
    <w:p w14:paraId="7439DF02">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（三）因自然灾害等不可抗力造成资产毁损、灭失的；</w:t>
      </w:r>
    </w:p>
    <w:p w14:paraId="1FE9C97C">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（四）会计信息严重失真的；</w:t>
      </w:r>
    </w:p>
    <w:p w14:paraId="6D241666">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（五）国家统一的会计制度发生重大变更，涉及资产核算方法发生重要变化的；</w:t>
      </w:r>
    </w:p>
    <w:p w14:paraId="17644723">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（六）其他应当进行资产清查的情形。</w:t>
      </w:r>
    </w:p>
    <w:p w14:paraId="74444335">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行政事业性国有资产清查内容，主要包括基本情况清理、账务清理、财产清查、</w:t>
      </w:r>
      <w:r>
        <w:rPr>
          <w:rFonts w:hint="eastAsia" w:ascii="仿宋_GB2312" w:hAnsi="仿宋" w:eastAsia="仿宋_GB2312" w:cs="仿宋"/>
          <w:color w:val="auto"/>
          <w:spacing w:val="2"/>
          <w:sz w:val="32"/>
          <w:szCs w:val="32"/>
          <w:lang w:eastAsia="zh-CN"/>
        </w:rPr>
        <w:t>损益</w:t>
      </w:r>
      <w:r>
        <w:rPr>
          <w:rFonts w:hint="eastAsia" w:ascii="仿宋_GB2312" w:hAnsi="仿宋" w:eastAsia="仿宋_GB2312" w:cs="仿宋"/>
          <w:color w:val="auto"/>
          <w:spacing w:val="2"/>
          <w:sz w:val="32"/>
          <w:szCs w:val="32"/>
        </w:rPr>
        <w:t>认定、资产核实和完善制度等。</w:t>
      </w:r>
    </w:p>
    <w:p w14:paraId="6B7D9200">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五</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各主管部门及其所属单位在资产清查中发现账实不符、账账不符的，应当查明原因予以说明，并随同清查结果一并履行批准程序，根据批复结果及时调整资产台账信息，同时进行会计处理。</w:t>
      </w:r>
    </w:p>
    <w:p w14:paraId="02BE62D0">
      <w:pPr>
        <w:spacing w:line="560" w:lineRule="exact"/>
        <w:ind w:right="17"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六</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各主管部门及其所属单位对需要办理权属登记的资产应当依法及时办理。</w:t>
      </w:r>
    </w:p>
    <w:p w14:paraId="442A6DCF">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对有账簿记录但权证手续不全的行政事业性国有资产，可以向县政府有关主管部门提出确认资产权属申请，及时办理权属登记。</w:t>
      </w:r>
    </w:p>
    <w:p w14:paraId="559053E3">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七</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各主管部门及其所属单位与其他单位和个人之间的产权纠纷，由各主管部门及其所属单位提出处理意见，报财政部门同意后，与对方当事人协商解决。协商不能解决的，依照司法程序处理。</w:t>
      </w:r>
    </w:p>
    <w:p w14:paraId="251A1CEB">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八</w:t>
      </w:r>
      <w:r>
        <w:rPr>
          <w:rFonts w:hint="eastAsia" w:ascii="Times New Roman" w:hAnsi="Times New Roman" w:eastAsia="黑体" w:cs="Times New Roman"/>
          <w:bCs/>
          <w:color w:val="auto"/>
          <w:sz w:val="32"/>
          <w:szCs w:val="32"/>
        </w:rPr>
        <w:t xml:space="preserve">条  </w:t>
      </w:r>
      <w:r>
        <w:rPr>
          <w:rFonts w:hint="eastAsia" w:ascii="Times New Roman" w:hAnsi="Times New Roman" w:eastAsia="仿宋_GB2312" w:cs="Times New Roman"/>
          <w:color w:val="000000"/>
          <w:spacing w:val="0"/>
          <w:w w:val="100"/>
          <w:sz w:val="32"/>
          <w:szCs w:val="32"/>
          <w:highlight w:val="none"/>
          <w:shd w:val="clear" w:color="auto" w:fill="auto"/>
          <w:lang w:eastAsia="zh-CN"/>
        </w:rPr>
        <w:t>县级行政事业单位</w:t>
      </w:r>
      <w:r>
        <w:rPr>
          <w:rFonts w:ascii="Times New Roman" w:hAnsi="Times New Roman" w:eastAsia="仿宋_GB2312" w:cs="Times New Roman"/>
          <w:color w:val="000000"/>
          <w:spacing w:val="0"/>
          <w:w w:val="100"/>
          <w:sz w:val="32"/>
          <w:szCs w:val="32"/>
          <w:highlight w:val="none"/>
          <w:shd w:val="clear" w:color="auto" w:fill="auto"/>
        </w:rPr>
        <w:t>应当使用资产管理信息系统对本单位国有资产实行动态管理，及时更新资产占有、使用</w:t>
      </w:r>
      <w:r>
        <w:rPr>
          <w:rFonts w:hint="eastAsia" w:ascii="Times New Roman" w:hAnsi="Times New Roman" w:eastAsia="仿宋_GB2312" w:cs="Times New Roman"/>
          <w:color w:val="000000"/>
          <w:spacing w:val="0"/>
          <w:w w:val="100"/>
          <w:sz w:val="32"/>
          <w:szCs w:val="32"/>
          <w:highlight w:val="none"/>
          <w:shd w:val="clear" w:color="auto" w:fill="auto"/>
          <w:lang w:eastAsia="zh-CN"/>
        </w:rPr>
        <w:t>情况</w:t>
      </w:r>
      <w:r>
        <w:rPr>
          <w:rFonts w:ascii="Times New Roman" w:hAnsi="Times New Roman" w:eastAsia="仿宋_GB2312" w:cs="Times New Roman"/>
          <w:color w:val="000000"/>
          <w:spacing w:val="-11"/>
          <w:w w:val="100"/>
          <w:sz w:val="32"/>
          <w:szCs w:val="32"/>
          <w:highlight w:val="none"/>
          <w:shd w:val="clear" w:color="auto" w:fill="auto"/>
        </w:rPr>
        <w:t>及增减变动信息，并按照要求向</w:t>
      </w:r>
      <w:r>
        <w:rPr>
          <w:rFonts w:hint="eastAsia" w:ascii="Times New Roman" w:hAnsi="Times New Roman" w:eastAsia="仿宋_GB2312" w:cs="Times New Roman"/>
          <w:color w:val="000000"/>
          <w:spacing w:val="-11"/>
          <w:w w:val="100"/>
          <w:sz w:val="32"/>
          <w:szCs w:val="32"/>
          <w:highlight w:val="none"/>
          <w:shd w:val="clear" w:color="auto" w:fill="auto"/>
          <w:lang w:val="en-US" w:eastAsia="zh-CN"/>
        </w:rPr>
        <w:t>县</w:t>
      </w:r>
      <w:r>
        <w:rPr>
          <w:rFonts w:ascii="Times New Roman" w:hAnsi="Times New Roman" w:eastAsia="仿宋_GB2312" w:cs="Times New Roman"/>
          <w:color w:val="000000"/>
          <w:spacing w:val="-11"/>
          <w:w w:val="100"/>
          <w:sz w:val="32"/>
          <w:szCs w:val="32"/>
          <w:highlight w:val="none"/>
          <w:shd w:val="clear" w:color="auto" w:fill="auto"/>
        </w:rPr>
        <w:t>财政</w:t>
      </w:r>
      <w:r>
        <w:rPr>
          <w:rFonts w:hint="eastAsia" w:ascii="Times New Roman" w:hAnsi="Times New Roman" w:eastAsia="仿宋_GB2312" w:cs="Times New Roman"/>
          <w:color w:val="000000"/>
          <w:spacing w:val="-11"/>
          <w:w w:val="100"/>
          <w:sz w:val="32"/>
          <w:szCs w:val="32"/>
          <w:highlight w:val="none"/>
          <w:shd w:val="clear" w:color="auto" w:fill="auto"/>
          <w:lang w:val="en-US" w:eastAsia="zh-CN"/>
        </w:rPr>
        <w:t>局</w:t>
      </w:r>
      <w:r>
        <w:rPr>
          <w:rFonts w:ascii="Times New Roman" w:hAnsi="Times New Roman" w:eastAsia="仿宋_GB2312" w:cs="Times New Roman"/>
          <w:color w:val="000000"/>
          <w:spacing w:val="-11"/>
          <w:w w:val="100"/>
          <w:sz w:val="32"/>
          <w:szCs w:val="32"/>
          <w:highlight w:val="none"/>
          <w:shd w:val="clear" w:color="auto" w:fill="auto"/>
        </w:rPr>
        <w:t>报送资产统计报告。</w:t>
      </w:r>
      <w:r>
        <w:rPr>
          <w:rFonts w:hint="eastAsia" w:ascii="仿宋_GB2312" w:hAnsi="仿宋" w:eastAsia="仿宋_GB2312" w:cs="仿宋"/>
          <w:color w:val="auto"/>
          <w:spacing w:val="2"/>
          <w:sz w:val="32"/>
          <w:szCs w:val="32"/>
        </w:rPr>
        <w:t>财政部门应当建立和完善行政事业性国有资产信息化管理制度，依托全省预算管理一体化系统，提升资产管理信息化能力和水平。</w:t>
      </w:r>
    </w:p>
    <w:p w14:paraId="3198387D">
      <w:pPr>
        <w:spacing w:line="560" w:lineRule="exact"/>
        <w:ind w:right="17" w:firstLine="640" w:firstLineChars="200"/>
        <w:rPr>
          <w:rFonts w:hint="eastAsia" w:ascii="仿宋_GB2312" w:hAnsi="仿宋" w:eastAsia="仿宋_GB2312" w:cs="仿宋"/>
          <w:color w:val="auto"/>
          <w:spacing w:val="2"/>
          <w:sz w:val="32"/>
          <w:szCs w:val="32"/>
          <w:lang w:val="en-US" w:eastAsia="zh-CN"/>
        </w:rPr>
      </w:pPr>
      <w:r>
        <w:rPr>
          <w:rFonts w:hint="eastAsia" w:ascii="Times New Roman" w:hAnsi="Times New Roman" w:eastAsia="黑体" w:cs="Times New Roman"/>
          <w:bCs/>
          <w:color w:val="auto"/>
          <w:sz w:val="32"/>
          <w:szCs w:val="32"/>
        </w:rPr>
        <w:t>第三十</w:t>
      </w:r>
      <w:r>
        <w:rPr>
          <w:rFonts w:hint="eastAsia" w:ascii="Times New Roman" w:hAnsi="Times New Roman" w:eastAsia="黑体" w:cs="Times New Roman"/>
          <w:bCs/>
          <w:color w:val="auto"/>
          <w:sz w:val="32"/>
          <w:szCs w:val="32"/>
          <w:lang w:val="en-US" w:eastAsia="zh-CN"/>
        </w:rPr>
        <w:t>九</w:t>
      </w:r>
      <w:r>
        <w:rPr>
          <w:rFonts w:hint="eastAsia" w:ascii="Times New Roman" w:hAnsi="Times New Roman" w:eastAsia="黑体" w:cs="Times New Roman"/>
          <w:bCs/>
          <w:color w:val="auto"/>
          <w:sz w:val="32"/>
          <w:szCs w:val="32"/>
        </w:rPr>
        <w:t xml:space="preserve">条  </w:t>
      </w:r>
      <w:r>
        <w:rPr>
          <w:rFonts w:hint="eastAsia" w:ascii="Times New Roman" w:hAnsi="Times New Roman" w:eastAsia="仿宋_GB2312" w:cs="Times New Roman"/>
          <w:color w:val="000000"/>
          <w:spacing w:val="0"/>
          <w:w w:val="100"/>
          <w:sz w:val="32"/>
          <w:szCs w:val="32"/>
          <w:highlight w:val="none"/>
          <w:shd w:val="clear" w:color="auto" w:fill="auto"/>
          <w:lang w:eastAsia="zh-CN"/>
        </w:rPr>
        <w:t>行政事业单位</w:t>
      </w:r>
      <w:r>
        <w:rPr>
          <w:rFonts w:ascii="Times New Roman" w:hAnsi="Times New Roman" w:eastAsia="仿宋_GB2312" w:cs="Times New Roman"/>
          <w:color w:val="000000"/>
          <w:spacing w:val="0"/>
          <w:w w:val="100"/>
          <w:sz w:val="32"/>
          <w:szCs w:val="32"/>
          <w:highlight w:val="none"/>
          <w:shd w:val="clear" w:color="auto" w:fill="auto"/>
        </w:rPr>
        <w:t>车辆实行编制管理，根据机构设置、人员编制和工作需要等因素确定车</w:t>
      </w:r>
      <w:r>
        <w:rPr>
          <w:rFonts w:ascii="Times New Roman" w:hAnsi="Times New Roman" w:eastAsia="仿宋_GB2312" w:cs="Times New Roman"/>
          <w:color w:val="auto"/>
          <w:spacing w:val="0"/>
          <w:w w:val="100"/>
          <w:sz w:val="32"/>
          <w:szCs w:val="32"/>
          <w:highlight w:val="none"/>
          <w:shd w:val="clear" w:color="auto" w:fill="auto"/>
        </w:rPr>
        <w:t>辆编制。</w:t>
      </w:r>
      <w:r>
        <w:rPr>
          <w:rFonts w:hint="eastAsia" w:ascii="仿宋_GB2312" w:hAnsi="仿宋" w:eastAsia="仿宋_GB2312" w:cs="仿宋"/>
          <w:color w:val="auto"/>
          <w:spacing w:val="2"/>
          <w:sz w:val="32"/>
          <w:szCs w:val="32"/>
        </w:rPr>
        <w:t>各主管部门及其所属单位的公务用车、实物保障用车、业务用车等车辆管理按照《</w:t>
      </w:r>
      <w:r>
        <w:rPr>
          <w:rFonts w:hint="eastAsia" w:ascii="仿宋_GB2312" w:hAnsi="仿宋" w:eastAsia="仿宋_GB2312" w:cs="仿宋"/>
          <w:color w:val="auto"/>
          <w:spacing w:val="2"/>
          <w:sz w:val="32"/>
          <w:szCs w:val="32"/>
          <w:lang w:eastAsia="zh-CN"/>
        </w:rPr>
        <w:t>灌云</w:t>
      </w:r>
      <w:r>
        <w:rPr>
          <w:rFonts w:hint="eastAsia" w:ascii="仿宋_GB2312" w:hAnsi="仿宋" w:eastAsia="仿宋_GB2312" w:cs="仿宋"/>
          <w:color w:val="auto"/>
          <w:spacing w:val="2"/>
          <w:sz w:val="32"/>
          <w:szCs w:val="32"/>
        </w:rPr>
        <w:t>县党政机关公务用车管理实施细则》执行。</w:t>
      </w:r>
      <w:r>
        <w:rPr>
          <w:rFonts w:hint="eastAsia" w:ascii="仿宋_GB2312" w:hAnsi="仿宋" w:eastAsia="仿宋_GB2312" w:cs="仿宋"/>
          <w:color w:val="auto"/>
          <w:spacing w:val="2"/>
          <w:sz w:val="32"/>
          <w:szCs w:val="32"/>
          <w:lang w:val="en-US" w:eastAsia="zh-CN"/>
        </w:rPr>
        <w:t>执法执勤用车、特种专业技术用车由机关事务管理部门会同主管部门负责管理，接受财政部门的指导和监督。</w:t>
      </w:r>
    </w:p>
    <w:p w14:paraId="5CF9D3D8">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5"/>
        <w:jc w:val="both"/>
        <w:textAlignment w:val="baseline"/>
        <w:rPr>
          <w:rFonts w:eastAsia="仿宋_GB2312"/>
          <w:color w:val="000000"/>
          <w:spacing w:val="0"/>
          <w:w w:val="100"/>
          <w:sz w:val="32"/>
          <w:szCs w:val="32"/>
          <w:highlight w:val="none"/>
          <w:shd w:val="clear" w:color="auto" w:fill="auto"/>
        </w:rPr>
      </w:pPr>
      <w:r>
        <w:rPr>
          <w:rFonts w:hint="eastAsia" w:eastAsia="仿宋_GB2312"/>
          <w:color w:val="auto"/>
          <w:spacing w:val="0"/>
          <w:w w:val="100"/>
          <w:sz w:val="32"/>
          <w:szCs w:val="32"/>
          <w:highlight w:val="none"/>
          <w:shd w:val="clear" w:color="auto" w:fill="auto"/>
          <w:lang w:eastAsia="zh-CN"/>
        </w:rPr>
        <w:t>行政事业单位</w:t>
      </w:r>
      <w:r>
        <w:rPr>
          <w:rFonts w:eastAsia="仿宋_GB2312"/>
          <w:color w:val="auto"/>
          <w:spacing w:val="0"/>
          <w:w w:val="100"/>
          <w:sz w:val="32"/>
          <w:szCs w:val="32"/>
          <w:highlight w:val="none"/>
          <w:shd w:val="clear" w:color="auto" w:fill="auto"/>
        </w:rPr>
        <w:t>应当建立健全车辆使用管理制度，</w:t>
      </w:r>
      <w:r>
        <w:rPr>
          <w:rFonts w:hint="eastAsia" w:eastAsia="仿宋_GB2312"/>
          <w:color w:val="auto"/>
          <w:spacing w:val="0"/>
          <w:w w:val="100"/>
          <w:sz w:val="32"/>
          <w:szCs w:val="32"/>
          <w:highlight w:val="none"/>
          <w:shd w:val="clear" w:color="auto" w:fill="auto"/>
          <w:lang w:eastAsia="zh-CN"/>
        </w:rPr>
        <w:t>严格执行</w:t>
      </w:r>
      <w:r>
        <w:rPr>
          <w:rFonts w:eastAsia="仿宋_GB2312"/>
          <w:color w:val="auto"/>
          <w:spacing w:val="0"/>
          <w:w w:val="100"/>
          <w:sz w:val="32"/>
          <w:szCs w:val="32"/>
          <w:highlight w:val="none"/>
          <w:shd w:val="clear" w:color="auto" w:fill="auto"/>
        </w:rPr>
        <w:t>，加强监督，降低运行成本。严禁以任何理由挪用或者</w:t>
      </w:r>
      <w:r>
        <w:rPr>
          <w:rFonts w:hint="eastAsia" w:eastAsia="仿宋_GB2312"/>
          <w:color w:val="auto"/>
          <w:spacing w:val="0"/>
          <w:w w:val="100"/>
          <w:sz w:val="32"/>
          <w:szCs w:val="32"/>
          <w:highlight w:val="none"/>
          <w:shd w:val="clear" w:color="auto" w:fill="auto"/>
          <w:lang w:eastAsia="zh-CN"/>
        </w:rPr>
        <w:t>固定</w:t>
      </w:r>
      <w:r>
        <w:rPr>
          <w:rFonts w:eastAsia="仿宋_GB2312"/>
          <w:color w:val="auto"/>
          <w:spacing w:val="0"/>
          <w:w w:val="100"/>
          <w:sz w:val="32"/>
          <w:szCs w:val="32"/>
          <w:highlight w:val="none"/>
          <w:shd w:val="clear" w:color="auto" w:fill="auto"/>
        </w:rPr>
        <w:t>给</w:t>
      </w:r>
      <w:r>
        <w:rPr>
          <w:rFonts w:eastAsia="仿宋_GB2312"/>
          <w:color w:val="000000"/>
          <w:spacing w:val="0"/>
          <w:w w:val="100"/>
          <w:sz w:val="32"/>
          <w:szCs w:val="32"/>
          <w:highlight w:val="none"/>
          <w:shd w:val="clear" w:color="auto" w:fill="auto"/>
        </w:rPr>
        <w:t>个人使用执法执勤、机要通信等公务用车。严禁公车私用、私车公养，严禁为车辆增加高档配置或者豪华内饰。</w:t>
      </w:r>
    </w:p>
    <w:p w14:paraId="77F64ED6">
      <w:pPr>
        <w:pStyle w:val="3"/>
        <w:keepNext w:val="0"/>
        <w:keepLines w:val="0"/>
        <w:pageBreakBefore w:val="0"/>
        <w:widowControl w:val="0"/>
        <w:kinsoku/>
        <w:wordWrap/>
        <w:overflowPunct w:val="0"/>
        <w:topLinePunct w:val="0"/>
        <w:autoSpaceDE/>
        <w:autoSpaceDN/>
        <w:bidi w:val="0"/>
        <w:adjustRightInd w:val="0"/>
        <w:snapToGrid w:val="0"/>
        <w:spacing w:line="560" w:lineRule="exact"/>
        <w:ind w:left="0" w:right="0" w:firstLine="633"/>
        <w:jc w:val="both"/>
        <w:textAlignment w:val="baseline"/>
        <w:rPr>
          <w:rFonts w:eastAsia="仿宋_GB2312"/>
          <w:color w:val="000000"/>
          <w:spacing w:val="0"/>
          <w:w w:val="100"/>
          <w:sz w:val="32"/>
          <w:szCs w:val="32"/>
          <w:highlight w:val="none"/>
          <w:shd w:val="clear" w:color="auto" w:fill="auto"/>
        </w:rPr>
      </w:pPr>
      <w:r>
        <w:rPr>
          <w:rFonts w:hint="eastAsia" w:eastAsia="仿宋_GB2312"/>
          <w:color w:val="000000"/>
          <w:spacing w:val="0"/>
          <w:w w:val="100"/>
          <w:sz w:val="32"/>
          <w:szCs w:val="32"/>
          <w:highlight w:val="none"/>
          <w:shd w:val="clear" w:color="auto" w:fill="auto"/>
          <w:lang w:val="en-US" w:eastAsia="zh-CN"/>
        </w:rPr>
        <w:t>县</w:t>
      </w:r>
      <w:r>
        <w:rPr>
          <w:rFonts w:eastAsia="仿宋_GB2312"/>
          <w:color w:val="000000"/>
          <w:spacing w:val="0"/>
          <w:w w:val="100"/>
          <w:sz w:val="32"/>
          <w:szCs w:val="32"/>
          <w:highlight w:val="none"/>
          <w:shd w:val="clear" w:color="auto" w:fill="auto"/>
        </w:rPr>
        <w:t>级行政单位的一般公务用车</w:t>
      </w:r>
      <w:r>
        <w:rPr>
          <w:rFonts w:hint="eastAsia" w:eastAsia="仿宋_GB2312"/>
          <w:color w:val="000000"/>
          <w:spacing w:val="0"/>
          <w:w w:val="100"/>
          <w:sz w:val="32"/>
          <w:szCs w:val="32"/>
          <w:highlight w:val="none"/>
          <w:shd w:val="clear" w:color="auto" w:fill="auto"/>
          <w:lang w:eastAsia="zh-CN"/>
        </w:rPr>
        <w:t>、</w:t>
      </w:r>
      <w:r>
        <w:rPr>
          <w:rFonts w:eastAsia="仿宋_GB2312"/>
          <w:color w:val="000000"/>
          <w:spacing w:val="0"/>
          <w:w w:val="100"/>
          <w:sz w:val="32"/>
          <w:szCs w:val="32"/>
          <w:highlight w:val="none"/>
          <w:shd w:val="clear" w:color="auto" w:fill="auto"/>
        </w:rPr>
        <w:t>执法执勤用车、特种专业技术用车，以及</w:t>
      </w:r>
      <w:r>
        <w:rPr>
          <w:rFonts w:hint="eastAsia" w:eastAsia="仿宋_GB2312"/>
          <w:color w:val="000000"/>
          <w:spacing w:val="0"/>
          <w:w w:val="100"/>
          <w:sz w:val="32"/>
          <w:szCs w:val="32"/>
          <w:highlight w:val="none"/>
          <w:shd w:val="clear" w:color="auto" w:fill="auto"/>
          <w:lang w:val="en-US" w:eastAsia="zh-CN"/>
        </w:rPr>
        <w:t>县</w:t>
      </w:r>
      <w:r>
        <w:rPr>
          <w:rFonts w:eastAsia="仿宋_GB2312"/>
          <w:color w:val="000000"/>
          <w:spacing w:val="0"/>
          <w:w w:val="100"/>
          <w:sz w:val="32"/>
          <w:szCs w:val="32"/>
          <w:highlight w:val="none"/>
          <w:shd w:val="clear" w:color="auto" w:fill="auto"/>
        </w:rPr>
        <w:t>级事业单位的实物保障用车、业务用车等由</w:t>
      </w:r>
      <w:r>
        <w:rPr>
          <w:rFonts w:hint="eastAsia" w:eastAsia="仿宋_GB2312"/>
          <w:color w:val="000000"/>
          <w:spacing w:val="0"/>
          <w:w w:val="100"/>
          <w:sz w:val="32"/>
          <w:szCs w:val="32"/>
          <w:highlight w:val="none"/>
          <w:shd w:val="clear" w:color="auto" w:fill="auto"/>
          <w:lang w:val="en-US" w:eastAsia="zh-CN"/>
        </w:rPr>
        <w:t>县</w:t>
      </w:r>
      <w:r>
        <w:rPr>
          <w:rFonts w:eastAsia="仿宋_GB2312"/>
          <w:color w:val="000000"/>
          <w:spacing w:val="0"/>
          <w:w w:val="100"/>
          <w:sz w:val="32"/>
          <w:szCs w:val="32"/>
          <w:highlight w:val="none"/>
          <w:shd w:val="clear" w:color="auto" w:fill="auto"/>
        </w:rPr>
        <w:t>机关事务管理</w:t>
      </w:r>
      <w:r>
        <w:rPr>
          <w:rFonts w:hint="eastAsia" w:eastAsia="仿宋_GB2312"/>
          <w:color w:val="000000"/>
          <w:spacing w:val="0"/>
          <w:w w:val="100"/>
          <w:sz w:val="32"/>
          <w:szCs w:val="32"/>
          <w:highlight w:val="none"/>
          <w:shd w:val="clear" w:color="auto" w:fill="auto"/>
          <w:lang w:val="en-US" w:eastAsia="zh-CN"/>
        </w:rPr>
        <w:t>部门</w:t>
      </w:r>
      <w:r>
        <w:rPr>
          <w:rFonts w:eastAsia="仿宋_GB2312"/>
          <w:color w:val="000000"/>
          <w:spacing w:val="0"/>
          <w:w w:val="100"/>
          <w:sz w:val="32"/>
          <w:szCs w:val="32"/>
          <w:highlight w:val="none"/>
          <w:shd w:val="clear" w:color="auto" w:fill="auto"/>
        </w:rPr>
        <w:t>会同主管部门负责管理。</w:t>
      </w:r>
    </w:p>
    <w:p w14:paraId="68BB626B">
      <w:pPr>
        <w:spacing w:line="560" w:lineRule="exact"/>
        <w:ind w:right="17" w:firstLine="640" w:firstLineChars="200"/>
        <w:rPr>
          <w:rFonts w:hint="default" w:ascii="仿宋_GB2312" w:hAnsi="仿宋" w:eastAsia="仿宋_GB2312" w:cs="仿宋"/>
          <w:color w:val="0000FF"/>
          <w:spacing w:val="2"/>
          <w:sz w:val="32"/>
          <w:szCs w:val="32"/>
          <w:lang w:val="en-US" w:eastAsia="zh-CN"/>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四</w:t>
      </w:r>
      <w:r>
        <w:rPr>
          <w:rFonts w:hint="eastAsia" w:ascii="Times New Roman" w:hAnsi="Times New Roman" w:eastAsia="黑体" w:cs="Times New Roman"/>
          <w:bCs/>
          <w:color w:val="auto"/>
          <w:sz w:val="32"/>
          <w:szCs w:val="32"/>
        </w:rPr>
        <w:t>十条</w:t>
      </w:r>
      <w:r>
        <w:rPr>
          <w:rFonts w:hint="eastAsia" w:ascii="Times New Roman" w:hAnsi="Times New Roman" w:eastAsia="黑体" w:cs="Times New Roman"/>
          <w:bCs/>
          <w:color w:val="auto"/>
          <w:sz w:val="32"/>
          <w:szCs w:val="32"/>
          <w:lang w:val="en-US" w:eastAsia="zh-CN"/>
        </w:rPr>
        <w:t xml:space="preserve">  </w:t>
      </w:r>
      <w:r>
        <w:rPr>
          <w:rFonts w:hint="eastAsia" w:ascii="仿宋_GB2312" w:hAnsi="仿宋" w:eastAsia="仿宋_GB2312" w:cs="仿宋"/>
          <w:color w:val="auto"/>
          <w:spacing w:val="2"/>
          <w:sz w:val="32"/>
          <w:szCs w:val="32"/>
        </w:rPr>
        <w:t>各主管部门及其所属单位</w:t>
      </w:r>
      <w:r>
        <w:rPr>
          <w:rFonts w:hint="eastAsia" w:ascii="仿宋_GB2312" w:hAnsi="仿宋" w:eastAsia="仿宋_GB2312" w:cs="仿宋"/>
          <w:color w:val="auto"/>
          <w:spacing w:val="2"/>
          <w:sz w:val="32"/>
          <w:szCs w:val="32"/>
          <w:lang w:val="en-US" w:eastAsia="zh-CN"/>
        </w:rPr>
        <w:t>房地产权属实行统一管理，具体办法由县政府另行制定。</w:t>
      </w:r>
    </w:p>
    <w:p w14:paraId="26F804F8">
      <w:pPr>
        <w:spacing w:line="560" w:lineRule="exact"/>
        <w:ind w:right="17"/>
        <w:jc w:val="center"/>
        <w:rPr>
          <w:rFonts w:hint="eastAsia" w:ascii="黑体" w:hAnsi="黑体" w:eastAsia="黑体" w:cs="仿宋"/>
          <w:color w:val="auto"/>
          <w:spacing w:val="2"/>
          <w:sz w:val="32"/>
          <w:szCs w:val="32"/>
        </w:rPr>
      </w:pPr>
    </w:p>
    <w:p w14:paraId="0CD461F0">
      <w:pPr>
        <w:spacing w:line="560" w:lineRule="exact"/>
        <w:ind w:right="17"/>
        <w:jc w:val="center"/>
        <w:rPr>
          <w:rFonts w:ascii="黑体" w:hAnsi="黑体" w:eastAsia="黑体" w:cs="仿宋"/>
          <w:color w:val="auto"/>
          <w:spacing w:val="2"/>
          <w:sz w:val="32"/>
          <w:szCs w:val="32"/>
        </w:rPr>
      </w:pPr>
      <w:r>
        <w:rPr>
          <w:rFonts w:hint="eastAsia" w:ascii="黑体" w:hAnsi="黑体" w:eastAsia="黑体" w:cs="仿宋"/>
          <w:color w:val="auto"/>
          <w:spacing w:val="2"/>
          <w:sz w:val="32"/>
          <w:szCs w:val="32"/>
        </w:rPr>
        <w:t>第五章 绩效管理</w:t>
      </w:r>
    </w:p>
    <w:p w14:paraId="29B242AA">
      <w:pPr>
        <w:spacing w:line="560" w:lineRule="exact"/>
        <w:ind w:right="17"/>
        <w:rPr>
          <w:rFonts w:hint="eastAsia" w:ascii="仿宋_GB2312" w:hAnsi="仿宋" w:eastAsia="仿宋_GB2312" w:cs="仿宋"/>
          <w:b/>
          <w:bCs/>
          <w:color w:val="auto"/>
          <w:spacing w:val="2"/>
          <w:sz w:val="32"/>
          <w:szCs w:val="32"/>
        </w:rPr>
      </w:pPr>
    </w:p>
    <w:p w14:paraId="476C7DE4">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四</w:t>
      </w:r>
      <w:r>
        <w:rPr>
          <w:rFonts w:hint="eastAsia" w:ascii="Times New Roman" w:hAnsi="Times New Roman" w:eastAsia="黑体" w:cs="Times New Roman"/>
          <w:bCs/>
          <w:color w:val="auto"/>
          <w:sz w:val="32"/>
          <w:szCs w:val="32"/>
        </w:rPr>
        <w:t>十</w:t>
      </w:r>
      <w:r>
        <w:rPr>
          <w:rFonts w:hint="eastAsia" w:ascii="Times New Roman" w:hAnsi="Times New Roman" w:eastAsia="黑体" w:cs="Times New Roman"/>
          <w:bCs/>
          <w:color w:val="auto"/>
          <w:sz w:val="32"/>
          <w:szCs w:val="32"/>
          <w:lang w:val="en-US" w:eastAsia="zh-CN"/>
        </w:rPr>
        <w:t>一</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县政府授权财政部门对行政事业性国有资产组织绩效管理。财政部门指导有关部门建立健全行政事业性国有资产管理绩效评价体系，推动实施国有资产绩效评价</w:t>
      </w:r>
      <w:r>
        <w:rPr>
          <w:rFonts w:hint="eastAsia" w:ascii="仿宋_GB2312" w:hAnsi="仿宋" w:eastAsia="仿宋_GB2312" w:cs="仿宋"/>
          <w:color w:val="auto"/>
          <w:spacing w:val="2"/>
          <w:sz w:val="32"/>
          <w:szCs w:val="32"/>
          <w:lang w:eastAsia="zh-CN"/>
        </w:rPr>
        <w:t>，</w:t>
      </w:r>
      <w:r>
        <w:rPr>
          <w:rFonts w:ascii="Times New Roman" w:hAnsi="Times New Roman" w:eastAsia="仿宋_GB2312" w:cs="Times New Roman"/>
          <w:color w:val="000000"/>
          <w:spacing w:val="0"/>
          <w:w w:val="100"/>
          <w:sz w:val="32"/>
          <w:szCs w:val="32"/>
          <w:highlight w:val="none"/>
          <w:shd w:val="clear" w:color="auto" w:fill="auto"/>
        </w:rPr>
        <w:t>建立资产调剂共享与资产配置、绩效管理挂钩的联动机制</w:t>
      </w:r>
      <w:r>
        <w:rPr>
          <w:rFonts w:hint="eastAsia" w:ascii="仿宋_GB2312" w:hAnsi="仿宋" w:eastAsia="仿宋_GB2312" w:cs="仿宋"/>
          <w:color w:val="auto"/>
          <w:spacing w:val="2"/>
          <w:sz w:val="32"/>
          <w:szCs w:val="32"/>
        </w:rPr>
        <w:t>。</w:t>
      </w:r>
    </w:p>
    <w:p w14:paraId="41862B54">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国有资产管理绩效评价应当坚持公开透明、客观公正、严格规范、注重实效、责任追究的原则，以定量评价为主、定性评价为辅，全面、科学、准确反映单位国有资产管理绩效情况。</w:t>
      </w:r>
    </w:p>
    <w:p w14:paraId="02F31A9C">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二</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资产管理重点绩效评价由财政部门负责，主管部门按照规定具体组织实施，接受财政部门指导监督。绩效评价工作以预算年度为周期，实施年度评价，必要时可以选择第三方机构共同参与。</w:t>
      </w:r>
    </w:p>
    <w:p w14:paraId="51241C27">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三</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资产管理绩效评价应当按照单位自评、线上审核、重点复核、综合评定的程序组织实施，对行政事业性国有资产的配置、使用、处置及其管理工作实施全方位的评价。</w:t>
      </w:r>
    </w:p>
    <w:p w14:paraId="12704949">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四</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财政部门应当建立健全绩效评价结果运用机制，通报评价结果，将绩效评价结果作为各主管部门及其所属单位新增资产配置预算的重要依据。</w:t>
      </w:r>
    </w:p>
    <w:p w14:paraId="2C3B5DC5">
      <w:pPr>
        <w:spacing w:line="560" w:lineRule="exact"/>
        <w:ind w:right="17"/>
        <w:jc w:val="center"/>
        <w:rPr>
          <w:rFonts w:hint="eastAsia" w:ascii="黑体" w:hAnsi="黑体" w:eastAsia="黑体" w:cs="仿宋"/>
          <w:color w:val="auto"/>
          <w:spacing w:val="2"/>
          <w:sz w:val="32"/>
          <w:szCs w:val="32"/>
        </w:rPr>
      </w:pPr>
    </w:p>
    <w:p w14:paraId="70D8558C">
      <w:pPr>
        <w:spacing w:line="560" w:lineRule="exact"/>
        <w:ind w:right="17"/>
        <w:jc w:val="center"/>
        <w:rPr>
          <w:rFonts w:ascii="黑体" w:hAnsi="黑体" w:eastAsia="黑体" w:cs="仿宋"/>
          <w:b/>
          <w:bCs/>
          <w:color w:val="auto"/>
          <w:spacing w:val="2"/>
          <w:sz w:val="32"/>
          <w:szCs w:val="32"/>
        </w:rPr>
      </w:pPr>
      <w:r>
        <w:rPr>
          <w:rFonts w:hint="eastAsia" w:ascii="黑体" w:hAnsi="黑体" w:eastAsia="黑体" w:cs="仿宋"/>
          <w:color w:val="auto"/>
          <w:spacing w:val="2"/>
          <w:sz w:val="32"/>
          <w:szCs w:val="32"/>
        </w:rPr>
        <w:t>第六章 资产报告</w:t>
      </w:r>
    </w:p>
    <w:p w14:paraId="4F9FC13D">
      <w:pPr>
        <w:spacing w:line="560" w:lineRule="exact"/>
        <w:ind w:right="17"/>
        <w:jc w:val="center"/>
        <w:rPr>
          <w:rFonts w:hint="eastAsia" w:ascii="仿宋_GB2312" w:hAnsi="仿宋" w:eastAsia="仿宋_GB2312" w:cs="仿宋"/>
          <w:b/>
          <w:bCs/>
          <w:color w:val="auto"/>
          <w:spacing w:val="2"/>
          <w:sz w:val="32"/>
          <w:szCs w:val="32"/>
        </w:rPr>
      </w:pPr>
    </w:p>
    <w:p w14:paraId="0CB3E1C6">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五</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县政府按照规定向</w:t>
      </w:r>
      <w:r>
        <w:rPr>
          <w:rFonts w:hint="eastAsia" w:ascii="仿宋_GB2312" w:hAnsi="仿宋" w:eastAsia="仿宋_GB2312" w:cs="仿宋"/>
          <w:color w:val="auto"/>
          <w:spacing w:val="2"/>
          <w:sz w:val="32"/>
          <w:szCs w:val="32"/>
          <w:lang w:eastAsia="zh-CN"/>
        </w:rPr>
        <w:t>灌云</w:t>
      </w:r>
      <w:r>
        <w:rPr>
          <w:rFonts w:hint="eastAsia" w:ascii="仿宋_GB2312" w:hAnsi="仿宋" w:eastAsia="仿宋_GB2312" w:cs="仿宋"/>
          <w:color w:val="auto"/>
          <w:spacing w:val="2"/>
          <w:sz w:val="32"/>
          <w:szCs w:val="32"/>
        </w:rPr>
        <w:t>县人民代表大会常务委员会报告行政事业性国有资产管理情况。</w:t>
      </w:r>
    </w:p>
    <w:p w14:paraId="0A20FD59">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六</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行政事业性国有资产管理情况报告的范围包括固定资产、在建工程、无形资产、对外投资、流动资产、公共基础设施、保障性住房、政府储备物资、文物文化资产等各类资产；重点报告资产负债总量，相关管理制度建立和实施，资产配置、使用、处置和效益，推进管理体制机制改革等情况。</w:t>
      </w:r>
    </w:p>
    <w:p w14:paraId="7C119F71">
      <w:pPr>
        <w:spacing w:line="560" w:lineRule="exact"/>
        <w:ind w:right="17"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七</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各主管部门所属单位应当每年编制本单位行政事业性国有资产管理情况报告，逐级报送相关部门。</w:t>
      </w:r>
    </w:p>
    <w:p w14:paraId="719D4F7E">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各主管部门应当汇总编制本部门行政事业性国有资产管理情况报告，报送财政部门。</w:t>
      </w:r>
    </w:p>
    <w:p w14:paraId="0CA20CDB">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八</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财政部门应当每年汇总本级和下级行政事业性国有资产管理情况，报送县政府和上一级财政部门。</w:t>
      </w:r>
    </w:p>
    <w:p w14:paraId="1DD515F1">
      <w:pPr>
        <w:spacing w:line="560" w:lineRule="exact"/>
        <w:ind w:right="17"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第四十</w:t>
      </w:r>
      <w:r>
        <w:rPr>
          <w:rFonts w:hint="eastAsia" w:ascii="Times New Roman" w:hAnsi="Times New Roman" w:eastAsia="黑体" w:cs="Times New Roman"/>
          <w:bCs/>
          <w:color w:val="auto"/>
          <w:sz w:val="32"/>
          <w:szCs w:val="32"/>
          <w:lang w:val="en-US" w:eastAsia="zh-CN"/>
        </w:rPr>
        <w:t>九</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编制、报送的行政事业性国有资产管理情况报告应当与本部门、本单位政府财务报告做好衔接；财政部门汇总、报送的本地区行政事业性国有资产管理情况报告应当与政府综合财务报告做好衔接。</w:t>
      </w:r>
    </w:p>
    <w:p w14:paraId="3595F5FD">
      <w:pPr>
        <w:spacing w:line="560" w:lineRule="exact"/>
        <w:ind w:right="17"/>
        <w:jc w:val="center"/>
        <w:rPr>
          <w:rFonts w:hint="eastAsia" w:ascii="黑体" w:hAnsi="黑体" w:eastAsia="黑体" w:cs="仿宋"/>
          <w:color w:val="auto"/>
          <w:spacing w:val="2"/>
          <w:sz w:val="32"/>
          <w:szCs w:val="32"/>
        </w:rPr>
      </w:pPr>
    </w:p>
    <w:p w14:paraId="5B07121E">
      <w:pPr>
        <w:spacing w:line="560" w:lineRule="exact"/>
        <w:ind w:right="17"/>
        <w:jc w:val="center"/>
        <w:rPr>
          <w:rFonts w:ascii="黑体" w:hAnsi="黑体" w:eastAsia="黑体" w:cs="仿宋"/>
          <w:color w:val="auto"/>
          <w:spacing w:val="2"/>
          <w:sz w:val="32"/>
          <w:szCs w:val="32"/>
        </w:rPr>
      </w:pPr>
      <w:r>
        <w:rPr>
          <w:rFonts w:hint="eastAsia" w:ascii="黑体" w:hAnsi="黑体" w:eastAsia="黑体" w:cs="仿宋"/>
          <w:color w:val="auto"/>
          <w:spacing w:val="2"/>
          <w:sz w:val="32"/>
          <w:szCs w:val="32"/>
        </w:rPr>
        <w:t>第七章 监督管理</w:t>
      </w:r>
    </w:p>
    <w:p w14:paraId="69D2F4A5">
      <w:pPr>
        <w:spacing w:line="560" w:lineRule="exact"/>
        <w:ind w:right="17"/>
        <w:jc w:val="center"/>
        <w:rPr>
          <w:rFonts w:ascii="黑体" w:hAnsi="黑体" w:eastAsia="黑体" w:cs="仿宋"/>
          <w:color w:val="auto"/>
          <w:spacing w:val="2"/>
          <w:sz w:val="32"/>
          <w:szCs w:val="32"/>
        </w:rPr>
      </w:pPr>
    </w:p>
    <w:p w14:paraId="03B2166B">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五</w:t>
      </w:r>
      <w:r>
        <w:rPr>
          <w:rFonts w:hint="eastAsia" w:ascii="Times New Roman" w:hAnsi="Times New Roman" w:eastAsia="黑体" w:cs="Times New Roman"/>
          <w:bCs/>
          <w:color w:val="auto"/>
          <w:sz w:val="32"/>
          <w:szCs w:val="32"/>
        </w:rPr>
        <w:t xml:space="preserve">十条  </w:t>
      </w:r>
      <w:r>
        <w:rPr>
          <w:rFonts w:hint="eastAsia" w:ascii="仿宋_GB2312" w:hAnsi="仿宋" w:eastAsia="仿宋_GB2312" w:cs="仿宋"/>
          <w:color w:val="auto"/>
          <w:spacing w:val="2"/>
          <w:sz w:val="32"/>
          <w:szCs w:val="32"/>
        </w:rPr>
        <w:t>县政府应当接受县人民代表大会及其常务委员会对行政事业性国有资产管理情况的监督，组织落实县人民代表大会及其常务委员会审议提出的整改要求，并向县人民代表大会及其常务委员会报告整改情况。各镇应当接受本级人民代表大会对行政事业性国有资产管理情况的监督。</w:t>
      </w:r>
    </w:p>
    <w:p w14:paraId="6F2E701F">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w:t>
      </w:r>
      <w:r>
        <w:rPr>
          <w:rFonts w:hint="eastAsia" w:ascii="Times New Roman" w:hAnsi="Times New Roman" w:eastAsia="黑体" w:cs="Times New Roman"/>
          <w:bCs/>
          <w:color w:val="auto"/>
          <w:sz w:val="32"/>
          <w:szCs w:val="32"/>
          <w:lang w:val="en-US" w:eastAsia="zh-CN"/>
        </w:rPr>
        <w:t>五</w:t>
      </w:r>
      <w:r>
        <w:rPr>
          <w:rFonts w:hint="eastAsia" w:ascii="Times New Roman" w:hAnsi="Times New Roman" w:eastAsia="黑体" w:cs="Times New Roman"/>
          <w:bCs/>
          <w:color w:val="auto"/>
          <w:sz w:val="32"/>
          <w:szCs w:val="32"/>
        </w:rPr>
        <w:t>十</w:t>
      </w:r>
      <w:r>
        <w:rPr>
          <w:rFonts w:hint="eastAsia" w:ascii="Times New Roman" w:hAnsi="Times New Roman" w:eastAsia="黑体" w:cs="Times New Roman"/>
          <w:bCs/>
          <w:color w:val="auto"/>
          <w:sz w:val="32"/>
          <w:szCs w:val="32"/>
          <w:lang w:val="en-US" w:eastAsia="zh-CN"/>
        </w:rPr>
        <w:t>一</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审计部门依法对行政事业性国有资产管理情况进行审计监督。</w:t>
      </w:r>
    </w:p>
    <w:p w14:paraId="1E385C9A">
      <w:pPr>
        <w:spacing w:line="560" w:lineRule="exact"/>
        <w:ind w:right="17"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二</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财政部门应当按照职责对行政事业性国有资产管理情况进行监督检查，依法向社会公开检查结果。各主管部门应当建立健全行政事业性国有资产监督管理制度，根据职责对本行业行政事业性国有资产管理进行监督。</w:t>
      </w:r>
    </w:p>
    <w:p w14:paraId="5EA3C934">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各主管部门所属单位应当制定行政事业性国有资产内部控制制度，防控行政事业性国有资产管理风险。</w:t>
      </w:r>
    </w:p>
    <w:p w14:paraId="53174DAF">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三</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财政部门和主管部门在监督检查过程中，发现有违反本办法规定的，可以约谈各主管部门及其所属单位相关负责人，情节严重的，予以通报。</w:t>
      </w:r>
    </w:p>
    <w:p w14:paraId="71B0D7E4">
      <w:pPr>
        <w:spacing w:line="560" w:lineRule="exact"/>
        <w:ind w:right="17" w:firstLine="640" w:firstLineChars="200"/>
        <w:rPr>
          <w:rFonts w:hint="eastAsia"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四</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公民、法人或者其他组织发现违反本办法的行为，有权向有关部门进行检举、控告。接受检举、控告的部门应当依法进行处理，并为检举人、控告人保密。</w:t>
      </w:r>
    </w:p>
    <w:p w14:paraId="07DE49C6">
      <w:pPr>
        <w:spacing w:line="560" w:lineRule="exact"/>
        <w:ind w:right="17" w:firstLine="648" w:firstLineChars="200"/>
        <w:rPr>
          <w:rFonts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任何单位或者个人不得压制和打击报复检举人、控告人。</w:t>
      </w:r>
    </w:p>
    <w:p w14:paraId="306A7314">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五</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各主管部门及其所属单位在国有资产管理工作中有违反规定行为的，按照《行政事业性国有资产管理条例》（国务院令第 738号）第五十三条、第五十四条规定处理。</w:t>
      </w:r>
    </w:p>
    <w:p w14:paraId="5DA561E1">
      <w:pPr>
        <w:spacing w:line="560" w:lineRule="exact"/>
        <w:ind w:right="17" w:firstLine="648" w:firstLineChars="200"/>
        <w:rPr>
          <w:rFonts w:hint="eastAsia" w:ascii="仿宋_GB2312" w:hAnsi="仿宋" w:eastAsia="仿宋_GB2312" w:cs="仿宋"/>
          <w:color w:val="auto"/>
          <w:spacing w:val="2"/>
          <w:sz w:val="32"/>
          <w:szCs w:val="32"/>
        </w:rPr>
      </w:pPr>
      <w:r>
        <w:rPr>
          <w:rFonts w:hint="eastAsia" w:ascii="仿宋_GB2312" w:hAnsi="仿宋" w:eastAsia="仿宋_GB2312" w:cs="仿宋"/>
          <w:color w:val="auto"/>
          <w:spacing w:val="2"/>
          <w:sz w:val="32"/>
          <w:szCs w:val="32"/>
        </w:rPr>
        <w:t>各主管部门及其所属单位有违反预算管理规定行为的，依照《中华人民共和国预算法》及其实施条例、《财政违法行为处罚处分条例》等法律、行政法规追究责任。</w:t>
      </w:r>
    </w:p>
    <w:p w14:paraId="22CD138F">
      <w:pPr>
        <w:spacing w:line="560" w:lineRule="exact"/>
        <w:ind w:right="17" w:firstLine="648" w:firstLineChars="200"/>
        <w:rPr>
          <w:rFonts w:hint="eastAsia" w:ascii="仿宋_GB2312" w:hAnsi="仿宋" w:eastAsia="仿宋_GB2312" w:cs="仿宋"/>
          <w:color w:val="auto"/>
          <w:spacing w:val="2"/>
          <w:sz w:val="32"/>
          <w:szCs w:val="32"/>
        </w:rPr>
      </w:pPr>
    </w:p>
    <w:p w14:paraId="02CFBE37">
      <w:pPr>
        <w:numPr>
          <w:ilvl w:val="0"/>
          <w:numId w:val="2"/>
        </w:numPr>
        <w:spacing w:line="560" w:lineRule="exact"/>
        <w:ind w:right="17"/>
        <w:jc w:val="center"/>
        <w:rPr>
          <w:rFonts w:hint="eastAsia" w:ascii="黑体" w:hAnsi="黑体" w:eastAsia="黑体" w:cs="仿宋"/>
          <w:color w:val="auto"/>
          <w:spacing w:val="2"/>
          <w:sz w:val="32"/>
          <w:szCs w:val="32"/>
        </w:rPr>
      </w:pPr>
      <w:r>
        <w:rPr>
          <w:rFonts w:hint="eastAsia" w:ascii="黑体" w:hAnsi="黑体" w:eastAsia="黑体" w:cs="仿宋"/>
          <w:color w:val="auto"/>
          <w:spacing w:val="2"/>
          <w:sz w:val="32"/>
          <w:szCs w:val="32"/>
        </w:rPr>
        <w:t>附  则</w:t>
      </w:r>
    </w:p>
    <w:p w14:paraId="76600CB4">
      <w:pPr>
        <w:spacing w:line="560" w:lineRule="exact"/>
        <w:ind w:right="17"/>
        <w:rPr>
          <w:rFonts w:hint="eastAsia" w:ascii="黑体" w:hAnsi="黑体" w:eastAsia="黑体" w:cs="仿宋"/>
          <w:color w:val="auto"/>
          <w:spacing w:val="2"/>
          <w:sz w:val="32"/>
          <w:szCs w:val="32"/>
        </w:rPr>
      </w:pPr>
    </w:p>
    <w:p w14:paraId="3C094A73">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六</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除国家另有规定外，社会组织直接支配的和脱钩后行业协会、商会继续使用的行政事业性国有资产管理，依照本办法执行。</w:t>
      </w:r>
    </w:p>
    <w:p w14:paraId="063CDCF0">
      <w:pPr>
        <w:spacing w:line="560" w:lineRule="exact"/>
        <w:ind w:right="17" w:firstLine="640" w:firstLineChars="200"/>
        <w:rPr>
          <w:rFonts w:ascii="仿宋_GB2312" w:hAnsi="仿宋" w:eastAsia="仿宋_GB2312" w:cs="仿宋"/>
          <w:b/>
          <w:bCs/>
          <w:color w:val="auto"/>
          <w:spacing w:val="2"/>
          <w:sz w:val="32"/>
          <w:szCs w:val="32"/>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七</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货币形式的行政事业性国有资产管理，按照预算管理有关规定执行。</w:t>
      </w:r>
    </w:p>
    <w:p w14:paraId="44A20D69">
      <w:pPr>
        <w:spacing w:line="560" w:lineRule="exact"/>
        <w:ind w:right="17" w:firstLine="640" w:firstLineChars="200"/>
        <w:rPr>
          <w:rFonts w:ascii="仿宋_GB2312" w:hAnsi="仿宋" w:eastAsia="仿宋_GB2312" w:cs="仿宋"/>
          <w:color w:val="auto"/>
          <w:spacing w:val="2"/>
          <w:sz w:val="32"/>
          <w:szCs w:val="32"/>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八</w:t>
      </w:r>
      <w:r>
        <w:rPr>
          <w:rFonts w:hint="eastAsia" w:ascii="Times New Roman" w:hAnsi="Times New Roman" w:eastAsia="黑体" w:cs="Times New Roman"/>
          <w:bCs/>
          <w:color w:val="auto"/>
          <w:sz w:val="32"/>
          <w:szCs w:val="32"/>
        </w:rPr>
        <w:t xml:space="preserve">条  </w:t>
      </w:r>
      <w:r>
        <w:rPr>
          <w:rFonts w:hint="eastAsia" w:ascii="仿宋_GB2312" w:hAnsi="仿宋" w:eastAsia="仿宋_GB2312" w:cs="仿宋"/>
          <w:color w:val="auto"/>
          <w:spacing w:val="2"/>
          <w:sz w:val="32"/>
          <w:szCs w:val="32"/>
        </w:rPr>
        <w:t>执行企业财务、会计制度的事业单位以及事业单位对外投资的全资企业或者控股企业的资产管理，不适用本办法。</w:t>
      </w:r>
    </w:p>
    <w:p w14:paraId="62615208">
      <w:pPr>
        <w:spacing w:line="560" w:lineRule="exact"/>
        <w:ind w:right="17" w:firstLine="640" w:firstLineChars="200"/>
        <w:rPr>
          <w:rFonts w:hint="eastAsia" w:ascii="Times New Roman" w:hAnsi="Times New Roman" w:eastAsia="仿宋_GB2312" w:cs="Times New Roman"/>
          <w:color w:val="auto"/>
          <w:spacing w:val="2"/>
          <w:sz w:val="32"/>
          <w:szCs w:val="32"/>
          <w:lang w:val="en-US" w:eastAsia="zh-CN"/>
        </w:rPr>
      </w:pPr>
      <w:r>
        <w:rPr>
          <w:rFonts w:hint="eastAsia" w:ascii="Times New Roman" w:hAnsi="Times New Roman" w:eastAsia="黑体" w:cs="Times New Roman"/>
          <w:bCs/>
          <w:color w:val="auto"/>
          <w:sz w:val="32"/>
          <w:szCs w:val="32"/>
        </w:rPr>
        <w:t>第五十</w:t>
      </w:r>
      <w:r>
        <w:rPr>
          <w:rFonts w:hint="eastAsia" w:ascii="Times New Roman" w:hAnsi="Times New Roman" w:eastAsia="黑体" w:cs="Times New Roman"/>
          <w:bCs/>
          <w:color w:val="auto"/>
          <w:sz w:val="32"/>
          <w:szCs w:val="32"/>
          <w:lang w:val="en-US" w:eastAsia="zh-CN"/>
        </w:rPr>
        <w:t>九</w:t>
      </w:r>
      <w:r>
        <w:rPr>
          <w:rFonts w:hint="eastAsia" w:ascii="Times New Roman" w:hAnsi="Times New Roman" w:eastAsia="黑体" w:cs="Times New Roman"/>
          <w:bCs/>
          <w:color w:val="auto"/>
          <w:sz w:val="32"/>
          <w:szCs w:val="32"/>
        </w:rPr>
        <w:t xml:space="preserve">条  </w:t>
      </w:r>
      <w:r>
        <w:rPr>
          <w:rFonts w:ascii="Times New Roman" w:hAnsi="Times New Roman" w:eastAsia="仿宋_GB2312" w:cs="Times New Roman"/>
          <w:color w:val="auto"/>
          <w:spacing w:val="2"/>
          <w:sz w:val="32"/>
          <w:szCs w:val="32"/>
        </w:rPr>
        <w:t>本办法自202</w:t>
      </w:r>
      <w:r>
        <w:rPr>
          <w:rFonts w:hint="eastAsia" w:ascii="Times New Roman" w:hAnsi="Times New Roman" w:eastAsia="仿宋_GB2312" w:cs="Times New Roman"/>
          <w:color w:val="auto"/>
          <w:spacing w:val="2"/>
          <w:sz w:val="32"/>
          <w:szCs w:val="32"/>
          <w:lang w:val="en-US" w:eastAsia="zh-CN"/>
        </w:rPr>
        <w:t>7</w:t>
      </w:r>
      <w:r>
        <w:rPr>
          <w:rFonts w:ascii="Times New Roman" w:hAnsi="Times New Roman" w:eastAsia="仿宋_GB2312" w:cs="Times New Roman"/>
          <w:color w:val="auto"/>
          <w:spacing w:val="2"/>
          <w:sz w:val="32"/>
          <w:szCs w:val="32"/>
        </w:rPr>
        <w:t>年</w:t>
      </w:r>
      <w:r>
        <w:rPr>
          <w:rFonts w:hint="eastAsia" w:ascii="Times New Roman" w:hAnsi="Times New Roman" w:eastAsia="仿宋_GB2312" w:cs="Times New Roman"/>
          <w:color w:val="auto"/>
          <w:spacing w:val="2"/>
          <w:sz w:val="32"/>
          <w:szCs w:val="32"/>
          <w:lang w:val="en-US" w:eastAsia="zh-CN"/>
        </w:rPr>
        <w:t>1</w:t>
      </w:r>
      <w:r>
        <w:rPr>
          <w:rFonts w:ascii="Times New Roman" w:hAnsi="Times New Roman" w:eastAsia="仿宋_GB2312" w:cs="Times New Roman"/>
          <w:color w:val="auto"/>
          <w:spacing w:val="2"/>
          <w:sz w:val="32"/>
          <w:szCs w:val="32"/>
        </w:rPr>
        <w:t>月</w:t>
      </w:r>
      <w:r>
        <w:rPr>
          <w:rFonts w:hint="eastAsia" w:ascii="Times New Roman" w:hAnsi="Times New Roman" w:eastAsia="仿宋_GB2312" w:cs="Times New Roman"/>
          <w:color w:val="auto"/>
          <w:spacing w:val="2"/>
          <w:sz w:val="32"/>
          <w:szCs w:val="32"/>
          <w:lang w:val="en-US" w:eastAsia="zh-CN"/>
        </w:rPr>
        <w:t>1</w:t>
      </w:r>
      <w:r>
        <w:rPr>
          <w:rFonts w:ascii="Times New Roman" w:hAnsi="Times New Roman" w:eastAsia="仿宋_GB2312" w:cs="Times New Roman"/>
          <w:color w:val="auto"/>
          <w:spacing w:val="2"/>
          <w:sz w:val="32"/>
          <w:szCs w:val="32"/>
        </w:rPr>
        <w:t>日起施行</w:t>
      </w:r>
      <w:r>
        <w:rPr>
          <w:rFonts w:hint="eastAsia" w:ascii="Times New Roman" w:hAnsi="Times New Roman" w:eastAsia="仿宋_GB2312" w:cs="Times New Roman"/>
          <w:color w:val="auto"/>
          <w:spacing w:val="2"/>
          <w:sz w:val="32"/>
          <w:szCs w:val="32"/>
        </w:rPr>
        <w:t>。</w:t>
      </w:r>
      <w:r>
        <w:rPr>
          <w:rFonts w:hint="eastAsia" w:ascii="Times New Roman" w:hAnsi="Times New Roman" w:eastAsia="仿宋_GB2312" w:cs="Times New Roman"/>
          <w:color w:val="auto"/>
          <w:spacing w:val="2"/>
          <w:sz w:val="32"/>
          <w:szCs w:val="32"/>
          <w:lang w:val="en-US" w:eastAsia="zh-CN"/>
        </w:rPr>
        <w:t>本县过去有关行政事业单位国有资产管理规定与本办法不一致的，按本办法执行。</w:t>
      </w:r>
    </w:p>
    <w:p w14:paraId="52009FB1">
      <w:pPr>
        <w:spacing w:line="560" w:lineRule="exact"/>
        <w:ind w:right="17" w:firstLine="648" w:firstLineChars="200"/>
        <w:rPr>
          <w:rFonts w:hint="eastAsia" w:ascii="Times New Roman" w:hAnsi="Times New Roman" w:eastAsia="仿宋_GB2312" w:cs="Times New Roman"/>
          <w:color w:val="auto"/>
          <w:spacing w:val="2"/>
          <w:sz w:val="32"/>
          <w:szCs w:val="32"/>
          <w:lang w:val="en-US" w:eastAsia="zh-CN"/>
        </w:rPr>
      </w:pPr>
    </w:p>
    <w:p w14:paraId="58487571">
      <w:pPr>
        <w:spacing w:line="560" w:lineRule="exact"/>
        <w:ind w:right="17" w:firstLine="648" w:firstLineChars="200"/>
        <w:rPr>
          <w:rFonts w:hint="eastAsia" w:ascii="Times New Roman" w:hAnsi="Times New Roman" w:eastAsia="仿宋_GB2312" w:cs="Times New Roman"/>
          <w:color w:val="auto"/>
          <w:spacing w:val="2"/>
          <w:sz w:val="32"/>
          <w:szCs w:val="32"/>
          <w:lang w:val="en-US" w:eastAsia="zh-CN"/>
        </w:rPr>
      </w:pPr>
    </w:p>
    <w:p w14:paraId="0A55F82F">
      <w:pPr>
        <w:spacing w:line="560" w:lineRule="exact"/>
        <w:ind w:right="17" w:firstLine="648" w:firstLineChars="200"/>
        <w:rPr>
          <w:rFonts w:hint="eastAsia" w:ascii="Times New Roman" w:hAnsi="Times New Roman" w:eastAsia="仿宋_GB2312" w:cs="Times New Roman"/>
          <w:color w:val="auto"/>
          <w:spacing w:val="2"/>
          <w:sz w:val="32"/>
          <w:szCs w:val="32"/>
          <w:lang w:val="en-US" w:eastAsia="zh-CN"/>
        </w:rPr>
      </w:pPr>
    </w:p>
    <w:p w14:paraId="4ACE491D">
      <w:pPr>
        <w:spacing w:line="560" w:lineRule="exact"/>
        <w:ind w:right="17" w:firstLine="648" w:firstLineChars="200"/>
        <w:rPr>
          <w:rFonts w:hint="eastAsia" w:ascii="Times New Roman" w:hAnsi="Times New Roman" w:eastAsia="仿宋_GB2312" w:cs="Times New Roman"/>
          <w:color w:val="auto"/>
          <w:spacing w:val="2"/>
          <w:sz w:val="32"/>
          <w:szCs w:val="32"/>
          <w:lang w:val="en-US" w:eastAsia="zh-CN"/>
        </w:rPr>
      </w:pPr>
    </w:p>
    <w:p w14:paraId="5062D9FA">
      <w:pPr>
        <w:spacing w:line="560" w:lineRule="exact"/>
        <w:ind w:right="17" w:firstLine="648" w:firstLineChars="200"/>
        <w:rPr>
          <w:rFonts w:hint="eastAsia" w:ascii="Times New Roman" w:hAnsi="Times New Roman" w:eastAsia="仿宋_GB2312" w:cs="Times New Roman"/>
          <w:color w:val="auto"/>
          <w:spacing w:val="2"/>
          <w:sz w:val="32"/>
          <w:szCs w:val="32"/>
          <w:lang w:val="en-US" w:eastAsia="zh-CN"/>
        </w:rPr>
      </w:pPr>
    </w:p>
    <w:p w14:paraId="274173A0">
      <w:pPr>
        <w:spacing w:line="560" w:lineRule="exact"/>
        <w:ind w:right="17" w:firstLine="648" w:firstLineChars="200"/>
        <w:rPr>
          <w:rFonts w:hint="eastAsia" w:ascii="Times New Roman" w:hAnsi="Times New Roman" w:eastAsia="仿宋_GB2312" w:cs="Times New Roman"/>
          <w:color w:val="auto"/>
          <w:spacing w:val="2"/>
          <w:sz w:val="32"/>
          <w:szCs w:val="32"/>
          <w:lang w:val="en-US" w:eastAsia="zh-CN"/>
        </w:rPr>
      </w:pPr>
    </w:p>
    <w:p w14:paraId="3A0F3A30">
      <w:pPr>
        <w:spacing w:line="560" w:lineRule="exact"/>
        <w:ind w:right="17" w:firstLine="648" w:firstLineChars="200"/>
        <w:rPr>
          <w:rFonts w:hint="eastAsia" w:eastAsia="仿宋_GB2312"/>
          <w:color w:val="auto"/>
          <w:spacing w:val="2"/>
          <w:sz w:val="32"/>
          <w:szCs w:val="32"/>
          <w:lang w:val="en-US" w:eastAsia="zh-CN"/>
        </w:rPr>
        <w:sectPr>
          <w:footerReference r:id="rId3" w:type="default"/>
          <w:pgSz w:w="11916" w:h="16848"/>
          <w:pgMar w:top="2098" w:right="1474" w:bottom="1984" w:left="1587" w:header="851" w:footer="1417" w:gutter="0"/>
          <w:pgBorders>
            <w:top w:val="none" w:sz="0" w:space="0"/>
            <w:left w:val="none" w:sz="0" w:space="0"/>
            <w:bottom w:val="none" w:sz="0" w:space="0"/>
            <w:right w:val="none" w:sz="0" w:space="0"/>
          </w:pgBorders>
          <w:pgNumType w:fmt="decimal" w:start="1"/>
          <w:cols w:space="720" w:num="1"/>
        </w:sectPr>
      </w:pPr>
    </w:p>
    <w:p w14:paraId="36152A15">
      <w:pPr>
        <w:widowControl/>
        <w:overflowPunct w:val="0"/>
        <w:topLinePunct/>
        <w:spacing w:line="560" w:lineRule="exact"/>
        <w:jc w:val="left"/>
        <w:outlineLvl w:val="0"/>
        <w:rPr>
          <w:rFonts w:hint="default" w:ascii="Times New Roman" w:hAnsi="Times New Roman" w:eastAsia="黑体" w:cs="Times New Roman"/>
          <w:sz w:val="32"/>
          <w:szCs w:val="32"/>
          <w:lang w:val="en-US" w:eastAsia="zh-CN"/>
        </w:rPr>
      </w:pPr>
      <mc:AlternateContent>
        <mc:Choice Requires="wpsCustomData">
          <wpsCustomData:docfieldStart id="0" docfieldname="附件_1" hidden="0" print="1" readonly="0" index="1"/>
        </mc:Choice>
      </mc:AlternateContent>
      <w:r>
        <w:rPr>
          <w:rFonts w:hint="default" w:ascii="Times New Roman" w:hAnsi="Times New Roman" w:eastAsia="黑体" w:cs="Times New Roman"/>
          <w:sz w:val="28"/>
          <w:szCs w:val="28"/>
        </w:rPr>
        <w:t>附件</w:t>
      </w:r>
      <w:r>
        <w:rPr>
          <w:rFonts w:hint="default" w:ascii="Times New Roman" w:hAnsi="Times New Roman" w:eastAsia="黑体" w:cs="Times New Roman"/>
          <w:sz w:val="28"/>
          <w:szCs w:val="28"/>
          <w:lang w:val="en-US" w:eastAsia="zh-CN"/>
        </w:rPr>
        <w:t>2</w:t>
      </w:r>
      <w:r>
        <w:rPr>
          <w:rFonts w:hint="default" w:ascii="Times New Roman" w:hAnsi="Times New Roman" w:eastAsia="黑体" w:cs="Times New Roman"/>
          <w:sz w:val="28"/>
          <w:szCs w:val="28"/>
          <w:lang w:eastAsia="zh-CN"/>
        </w:rPr>
        <w:t>：</w:t>
      </w:r>
      <mc:AlternateContent>
        <mc:Choice Requires="wpsCustomData">
          <wpsCustomData:docfieldEnd id="0"/>
        </mc:Choice>
      </mc:AlternateContent>
      <w:r>
        <w:rPr>
          <w:rFonts w:hint="default" w:ascii="Times New Roman" w:hAnsi="Times New Roman" w:eastAsia="黑体" w:cs="Times New Roman"/>
          <w:sz w:val="28"/>
          <w:szCs w:val="28"/>
        </w:rPr>
        <w:t>灌云县县级行政事业单位通用办公设备和家具配置标准</w:t>
      </w:r>
      <w:r>
        <w:rPr>
          <w:rFonts w:hint="default" w:ascii="Times New Roman" w:hAnsi="Times New Roman" w:eastAsia="黑体" w:cs="Times New Roman"/>
          <w:sz w:val="18"/>
          <w:szCs w:val="18"/>
          <w:lang w:eastAsia="zh-CN"/>
        </w:rPr>
        <w:t>（</w:t>
      </w:r>
      <w:r>
        <w:rPr>
          <w:rFonts w:hint="default" w:ascii="Times New Roman" w:hAnsi="Times New Roman" w:eastAsia="黑体" w:cs="Times New Roman"/>
          <w:sz w:val="18"/>
          <w:szCs w:val="18"/>
          <w:lang w:val="en-US" w:eastAsia="zh-CN"/>
        </w:rPr>
        <w:t>征求意见稿</w:t>
      </w:r>
      <w:r>
        <w:rPr>
          <w:rFonts w:hint="default" w:ascii="Times New Roman" w:hAnsi="Times New Roman" w:eastAsia="黑体" w:cs="Times New Roman"/>
          <w:sz w:val="18"/>
          <w:szCs w:val="18"/>
          <w:lang w:eastAsia="zh-CN"/>
        </w:rPr>
        <w:t>）</w:t>
      </w:r>
    </w:p>
    <w:tbl>
      <w:tblPr>
        <w:tblStyle w:val="10"/>
        <w:tblpPr w:leftFromText="180" w:rightFromText="180" w:vertAnchor="text" w:horzAnchor="page" w:tblpX="1078" w:tblpY="233"/>
        <w:tblOverlap w:val="never"/>
        <w:tblW w:w="574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10"/>
        <w:gridCol w:w="1346"/>
        <w:gridCol w:w="5249"/>
        <w:gridCol w:w="878"/>
        <w:gridCol w:w="1120"/>
        <w:gridCol w:w="874"/>
      </w:tblGrid>
      <w:tr w14:paraId="1DE43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blHeader/>
        </w:trPr>
        <w:tc>
          <w:tcPr>
            <w:tcW w:w="1010" w:type="pct"/>
            <w:gridSpan w:val="2"/>
            <w:noWrap w:val="0"/>
            <w:vAlign w:val="center"/>
          </w:tcPr>
          <w:p w14:paraId="00B874E5">
            <w:pPr>
              <w:kinsoku w:val="0"/>
              <w:autoSpaceDE w:val="0"/>
              <w:autoSpaceDN w:val="0"/>
              <w:adjustRightInd w:val="0"/>
              <w:snapToGrid w:val="0"/>
              <w:spacing w:before="220" w:line="219" w:lineRule="auto"/>
              <w:ind w:left="647"/>
              <w:jc w:val="left"/>
              <w:textAlignment w:val="baseline"/>
              <w:rPr>
                <w:rFonts w:hint="default" w:ascii="Times New Roman" w:hAnsi="Times New Roman" w:eastAsia="黑体" w:cs="Times New Roman"/>
                <w:b w:val="0"/>
                <w:bCs w:val="0"/>
                <w:snapToGrid w:val="0"/>
                <w:color w:val="000000"/>
                <w:kern w:val="0"/>
                <w:sz w:val="19"/>
                <w:szCs w:val="19"/>
                <w:lang w:val="en-US" w:eastAsia="en-US" w:bidi="ar-SA"/>
              </w:rPr>
            </w:pPr>
            <w:r>
              <w:rPr>
                <w:rFonts w:hint="default" w:ascii="Times New Roman" w:hAnsi="Times New Roman" w:eastAsia="黑体" w:cs="Times New Roman"/>
                <w:b w:val="0"/>
                <w:bCs w:val="0"/>
                <w:snapToGrid w:val="0"/>
                <w:color w:val="000000"/>
                <w:spacing w:val="5"/>
                <w:kern w:val="0"/>
                <w:sz w:val="19"/>
                <w:szCs w:val="19"/>
                <w:lang w:val="en-US" w:eastAsia="en-US" w:bidi="ar-SA"/>
              </w:rPr>
              <w:t>资产品目</w:t>
            </w:r>
          </w:p>
        </w:tc>
        <w:tc>
          <w:tcPr>
            <w:tcW w:w="2578" w:type="pct"/>
            <w:noWrap w:val="0"/>
            <w:vAlign w:val="center"/>
          </w:tcPr>
          <w:p w14:paraId="33C623BA">
            <w:pPr>
              <w:kinsoku w:val="0"/>
              <w:autoSpaceDE w:val="0"/>
              <w:autoSpaceDN w:val="0"/>
              <w:adjustRightInd w:val="0"/>
              <w:snapToGrid w:val="0"/>
              <w:spacing w:before="220" w:line="219" w:lineRule="auto"/>
              <w:ind w:left="1384"/>
              <w:jc w:val="left"/>
              <w:textAlignment w:val="baseline"/>
              <w:rPr>
                <w:rFonts w:hint="default" w:ascii="Times New Roman" w:hAnsi="Times New Roman" w:eastAsia="黑体" w:cs="Times New Roman"/>
                <w:b w:val="0"/>
                <w:bCs w:val="0"/>
                <w:snapToGrid w:val="0"/>
                <w:color w:val="000000"/>
                <w:kern w:val="0"/>
                <w:sz w:val="19"/>
                <w:szCs w:val="19"/>
                <w:lang w:val="en-US" w:eastAsia="zh-CN" w:bidi="ar-SA"/>
              </w:rPr>
            </w:pPr>
            <w:r>
              <w:rPr>
                <w:rFonts w:hint="default" w:ascii="Times New Roman" w:hAnsi="Times New Roman" w:eastAsia="黑体" w:cs="Times New Roman"/>
                <w:b w:val="0"/>
                <w:bCs w:val="0"/>
                <w:snapToGrid w:val="0"/>
                <w:color w:val="000000"/>
                <w:spacing w:val="3"/>
                <w:kern w:val="0"/>
                <w:sz w:val="19"/>
                <w:szCs w:val="19"/>
                <w:lang w:val="en-US" w:eastAsia="en-US" w:bidi="ar-SA"/>
              </w:rPr>
              <w:t>数量上限</w:t>
            </w:r>
            <w:r>
              <w:rPr>
                <w:rFonts w:hint="default" w:ascii="Times New Roman" w:hAnsi="Times New Roman" w:eastAsia="黑体" w:cs="Times New Roman"/>
                <w:b w:val="0"/>
                <w:bCs w:val="0"/>
                <w:snapToGrid w:val="0"/>
                <w:color w:val="000000"/>
                <w:spacing w:val="3"/>
                <w:kern w:val="0"/>
                <w:sz w:val="19"/>
                <w:szCs w:val="19"/>
                <w:lang w:val="en-US" w:eastAsia="zh-CN" w:bidi="ar-SA"/>
              </w:rPr>
              <w:t>（</w:t>
            </w:r>
            <w:r>
              <w:rPr>
                <w:rFonts w:hint="default" w:ascii="Times New Roman" w:hAnsi="Times New Roman" w:eastAsia="黑体" w:cs="Times New Roman"/>
                <w:b w:val="0"/>
                <w:bCs w:val="0"/>
                <w:snapToGrid w:val="0"/>
                <w:color w:val="000000"/>
                <w:spacing w:val="3"/>
                <w:kern w:val="0"/>
                <w:sz w:val="19"/>
                <w:szCs w:val="19"/>
                <w:lang w:val="en-US" w:eastAsia="en-US" w:bidi="ar-SA"/>
              </w:rPr>
              <w:t>台</w:t>
            </w:r>
            <w:r>
              <w:rPr>
                <w:rFonts w:hint="default" w:ascii="Times New Roman" w:hAnsi="Times New Roman" w:eastAsia="黑体" w:cs="Times New Roman"/>
                <w:b w:val="0"/>
                <w:bCs w:val="0"/>
                <w:snapToGrid w:val="0"/>
                <w:color w:val="000000"/>
                <w:spacing w:val="3"/>
                <w:kern w:val="0"/>
                <w:sz w:val="19"/>
                <w:szCs w:val="19"/>
                <w:lang w:val="en-US" w:eastAsia="zh-CN" w:bidi="ar-SA"/>
              </w:rPr>
              <w:t>）</w:t>
            </w:r>
          </w:p>
        </w:tc>
        <w:tc>
          <w:tcPr>
            <w:tcW w:w="431" w:type="pct"/>
            <w:noWrap w:val="0"/>
            <w:vAlign w:val="center"/>
          </w:tcPr>
          <w:p w14:paraId="52694744">
            <w:pPr>
              <w:kinsoku w:val="0"/>
              <w:autoSpaceDE w:val="0"/>
              <w:autoSpaceDN w:val="0"/>
              <w:adjustRightInd w:val="0"/>
              <w:snapToGrid w:val="0"/>
              <w:spacing w:before="41" w:line="218" w:lineRule="auto"/>
              <w:jc w:val="left"/>
              <w:textAlignment w:val="baseline"/>
              <w:rPr>
                <w:rFonts w:hint="default" w:ascii="Times New Roman" w:hAnsi="Times New Roman" w:eastAsia="黑体" w:cs="Times New Roman"/>
                <w:snapToGrid w:val="0"/>
                <w:color w:val="000000"/>
                <w:spacing w:val="8"/>
                <w:kern w:val="0"/>
                <w:sz w:val="19"/>
                <w:szCs w:val="19"/>
                <w:lang w:val="en-US" w:eastAsia="en-US" w:bidi="ar-SA"/>
              </w:rPr>
            </w:pPr>
            <w:r>
              <w:rPr>
                <w:rFonts w:hint="default" w:ascii="Times New Roman" w:hAnsi="Times New Roman" w:eastAsia="黑体" w:cs="Times New Roman"/>
                <w:snapToGrid w:val="0"/>
                <w:color w:val="000000"/>
                <w:spacing w:val="-3"/>
                <w:kern w:val="0"/>
                <w:sz w:val="19"/>
                <w:szCs w:val="19"/>
                <w:lang w:val="en-US" w:eastAsia="en-US" w:bidi="ar-SA"/>
              </w:rPr>
              <w:t>价格</w:t>
            </w:r>
            <w:r>
              <w:rPr>
                <w:rFonts w:hint="default" w:ascii="Times New Roman" w:hAnsi="Times New Roman" w:eastAsia="黑体" w:cs="Times New Roman"/>
                <w:snapToGrid w:val="0"/>
                <w:color w:val="000000"/>
                <w:spacing w:val="8"/>
                <w:kern w:val="0"/>
                <w:sz w:val="19"/>
                <w:szCs w:val="19"/>
                <w:lang w:val="en-US" w:eastAsia="en-US" w:bidi="ar-SA"/>
              </w:rPr>
              <w:t>上限</w:t>
            </w:r>
          </w:p>
          <w:p w14:paraId="5BBE6839">
            <w:pPr>
              <w:kinsoku w:val="0"/>
              <w:autoSpaceDE w:val="0"/>
              <w:autoSpaceDN w:val="0"/>
              <w:adjustRightInd w:val="0"/>
              <w:snapToGrid w:val="0"/>
              <w:spacing w:before="41" w:line="218" w:lineRule="auto"/>
              <w:jc w:val="left"/>
              <w:textAlignment w:val="baseline"/>
              <w:rPr>
                <w:rFonts w:hint="default" w:ascii="Times New Roman" w:hAnsi="Times New Roman" w:eastAsia="黑体" w:cs="Times New Roman"/>
                <w:snapToGrid w:val="0"/>
                <w:color w:val="000000"/>
                <w:kern w:val="0"/>
                <w:sz w:val="19"/>
                <w:szCs w:val="19"/>
                <w:lang w:val="en-US" w:eastAsia="zh-CN" w:bidi="ar-SA"/>
              </w:rPr>
            </w:pPr>
            <w:r>
              <w:rPr>
                <w:rFonts w:hint="default" w:ascii="Times New Roman" w:hAnsi="Times New Roman" w:eastAsia="黑体" w:cs="Times New Roman"/>
                <w:snapToGrid w:val="0"/>
                <w:color w:val="000000"/>
                <w:spacing w:val="8"/>
                <w:kern w:val="0"/>
                <w:sz w:val="19"/>
                <w:szCs w:val="19"/>
                <w:lang w:val="en-US" w:eastAsia="zh-CN" w:bidi="ar-SA"/>
              </w:rPr>
              <w:t>（</w:t>
            </w:r>
            <w:r>
              <w:rPr>
                <w:rFonts w:hint="default" w:ascii="Times New Roman" w:hAnsi="Times New Roman" w:eastAsia="黑体" w:cs="Times New Roman"/>
                <w:snapToGrid w:val="0"/>
                <w:color w:val="000000"/>
                <w:spacing w:val="8"/>
                <w:kern w:val="0"/>
                <w:sz w:val="19"/>
                <w:szCs w:val="19"/>
                <w:lang w:val="en-US" w:eastAsia="en-US" w:bidi="ar-SA"/>
              </w:rPr>
              <w:t>元</w:t>
            </w:r>
            <w:r>
              <w:rPr>
                <w:rFonts w:hint="default" w:ascii="Times New Roman" w:hAnsi="Times New Roman" w:eastAsia="黑体" w:cs="Times New Roman"/>
                <w:snapToGrid w:val="0"/>
                <w:color w:val="000000"/>
                <w:spacing w:val="8"/>
                <w:kern w:val="0"/>
                <w:sz w:val="19"/>
                <w:szCs w:val="19"/>
                <w:lang w:val="en-US" w:eastAsia="zh-CN" w:bidi="ar-SA"/>
              </w:rPr>
              <w:t>）</w:t>
            </w:r>
          </w:p>
        </w:tc>
        <w:tc>
          <w:tcPr>
            <w:tcW w:w="550" w:type="pct"/>
            <w:noWrap w:val="0"/>
            <w:vAlign w:val="center"/>
          </w:tcPr>
          <w:p w14:paraId="50236601">
            <w:pPr>
              <w:kinsoku w:val="0"/>
              <w:autoSpaceDE w:val="0"/>
              <w:autoSpaceDN w:val="0"/>
              <w:adjustRightInd w:val="0"/>
              <w:snapToGrid w:val="0"/>
              <w:spacing w:before="51" w:line="278" w:lineRule="auto"/>
              <w:ind w:right="89"/>
              <w:jc w:val="left"/>
              <w:textAlignment w:val="baseline"/>
              <w:rPr>
                <w:rFonts w:hint="default" w:ascii="Times New Roman" w:hAnsi="Times New Roman" w:eastAsia="黑体" w:cs="Times New Roman"/>
                <w:snapToGrid w:val="0"/>
                <w:color w:val="000000"/>
                <w:kern w:val="0"/>
                <w:sz w:val="19"/>
                <w:szCs w:val="19"/>
                <w:lang w:val="en-US" w:eastAsia="zh-CN" w:bidi="ar-SA"/>
              </w:rPr>
            </w:pPr>
            <w:r>
              <w:rPr>
                <w:rFonts w:hint="default" w:ascii="Times New Roman" w:hAnsi="Times New Roman" w:eastAsia="黑体" w:cs="Times New Roman"/>
                <w:snapToGrid w:val="0"/>
                <w:color w:val="000000"/>
                <w:spacing w:val="5"/>
                <w:kern w:val="0"/>
                <w:sz w:val="19"/>
                <w:szCs w:val="19"/>
                <w:lang w:val="en-US" w:eastAsia="en-US" w:bidi="ar-SA"/>
              </w:rPr>
              <w:t>最低使用</w:t>
            </w:r>
            <w:r>
              <w:rPr>
                <w:rFonts w:hint="default" w:ascii="Times New Roman" w:hAnsi="Times New Roman" w:eastAsia="黑体" w:cs="Times New Roman"/>
                <w:snapToGrid w:val="0"/>
                <w:color w:val="000000"/>
                <w:spacing w:val="8"/>
                <w:kern w:val="0"/>
                <w:sz w:val="19"/>
                <w:szCs w:val="19"/>
                <w:lang w:val="en-US" w:eastAsia="en-US" w:bidi="ar-SA"/>
              </w:rPr>
              <w:t>年限</w:t>
            </w:r>
            <w:r>
              <w:rPr>
                <w:rFonts w:hint="default" w:ascii="Times New Roman" w:hAnsi="Times New Roman" w:eastAsia="黑体" w:cs="Times New Roman"/>
                <w:snapToGrid w:val="0"/>
                <w:color w:val="000000"/>
                <w:spacing w:val="8"/>
                <w:kern w:val="0"/>
                <w:sz w:val="19"/>
                <w:szCs w:val="19"/>
                <w:lang w:val="en-US" w:eastAsia="zh-CN" w:bidi="ar-SA"/>
              </w:rPr>
              <w:t>（</w:t>
            </w:r>
            <w:r>
              <w:rPr>
                <w:rFonts w:hint="default" w:ascii="Times New Roman" w:hAnsi="Times New Roman" w:eastAsia="黑体" w:cs="Times New Roman"/>
                <w:snapToGrid w:val="0"/>
                <w:color w:val="000000"/>
                <w:spacing w:val="8"/>
                <w:kern w:val="0"/>
                <w:sz w:val="19"/>
                <w:szCs w:val="19"/>
                <w:lang w:val="en-US" w:eastAsia="en-US" w:bidi="ar-SA"/>
              </w:rPr>
              <w:t>年</w:t>
            </w:r>
            <w:r>
              <w:rPr>
                <w:rFonts w:hint="default" w:ascii="Times New Roman" w:hAnsi="Times New Roman" w:eastAsia="黑体" w:cs="Times New Roman"/>
                <w:snapToGrid w:val="0"/>
                <w:color w:val="000000"/>
                <w:spacing w:val="8"/>
                <w:kern w:val="0"/>
                <w:sz w:val="19"/>
                <w:szCs w:val="19"/>
                <w:lang w:val="en-US" w:eastAsia="zh-CN" w:bidi="ar-SA"/>
              </w:rPr>
              <w:t>）</w:t>
            </w:r>
          </w:p>
        </w:tc>
        <w:tc>
          <w:tcPr>
            <w:tcW w:w="429" w:type="pct"/>
            <w:noWrap w:val="0"/>
            <w:vAlign w:val="center"/>
          </w:tcPr>
          <w:p w14:paraId="47A4DD8E">
            <w:pPr>
              <w:kinsoku w:val="0"/>
              <w:autoSpaceDE w:val="0"/>
              <w:autoSpaceDN w:val="0"/>
              <w:adjustRightInd w:val="0"/>
              <w:snapToGrid w:val="0"/>
              <w:spacing w:before="43" w:line="221" w:lineRule="auto"/>
              <w:jc w:val="left"/>
              <w:textAlignment w:val="baseline"/>
              <w:rPr>
                <w:rFonts w:hint="default" w:ascii="Times New Roman" w:hAnsi="Times New Roman" w:eastAsia="黑体" w:cs="Times New Roman"/>
                <w:snapToGrid w:val="0"/>
                <w:color w:val="000000"/>
                <w:kern w:val="0"/>
                <w:sz w:val="19"/>
                <w:szCs w:val="19"/>
                <w:lang w:val="en-US" w:eastAsia="en-US" w:bidi="ar-SA"/>
              </w:rPr>
            </w:pPr>
            <w:r>
              <w:rPr>
                <w:rFonts w:hint="default" w:ascii="Times New Roman" w:hAnsi="Times New Roman" w:eastAsia="黑体" w:cs="Times New Roman"/>
                <w:snapToGrid w:val="0"/>
                <w:color w:val="000000"/>
                <w:spacing w:val="-3"/>
                <w:kern w:val="0"/>
                <w:sz w:val="19"/>
                <w:szCs w:val="19"/>
                <w:lang w:val="en-US" w:eastAsia="en-US" w:bidi="ar-SA"/>
              </w:rPr>
              <w:t>性能要求</w:t>
            </w:r>
          </w:p>
        </w:tc>
      </w:tr>
      <w:tr w14:paraId="0CBE6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1010" w:type="pct"/>
            <w:gridSpan w:val="2"/>
            <w:noWrap w:val="0"/>
            <w:vAlign w:val="top"/>
          </w:tcPr>
          <w:p w14:paraId="2DB9F1F5">
            <w:pPr>
              <w:kinsoku w:val="0"/>
              <w:autoSpaceDE w:val="0"/>
              <w:autoSpaceDN w:val="0"/>
              <w:adjustRightInd w:val="0"/>
              <w:snapToGrid w:val="0"/>
              <w:spacing w:before="247" w:line="219" w:lineRule="auto"/>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snapToGrid w:val="0"/>
                <w:color w:val="000000"/>
                <w:spacing w:val="1"/>
                <w:kern w:val="0"/>
                <w:sz w:val="19"/>
                <w:szCs w:val="19"/>
                <w:lang w:val="en-US" w:eastAsia="en-US" w:bidi="ar-SA"/>
              </w:rPr>
              <w:t>台式计算机</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含预装正版操作系统</w:t>
            </w:r>
            <w:r>
              <w:rPr>
                <w:rFonts w:hint="default" w:ascii="Times New Roman" w:hAnsi="Times New Roman" w:eastAsia="宋体" w:cs="Times New Roman"/>
                <w:snapToGrid w:val="0"/>
                <w:color w:val="000000"/>
                <w:spacing w:val="15"/>
                <w:kern w:val="0"/>
                <w:sz w:val="19"/>
                <w:szCs w:val="19"/>
                <w:lang w:val="en-US" w:eastAsia="en-US" w:bidi="ar-SA"/>
              </w:rPr>
              <w:t>软件</w:t>
            </w:r>
            <w:r>
              <w:rPr>
                <w:rFonts w:hint="default" w:ascii="Times New Roman" w:hAnsi="Times New Roman" w:eastAsia="宋体" w:cs="Times New Roman"/>
                <w:snapToGrid w:val="0"/>
                <w:color w:val="000000"/>
                <w:spacing w:val="15"/>
                <w:kern w:val="0"/>
                <w:sz w:val="19"/>
                <w:szCs w:val="19"/>
                <w:lang w:val="en-US" w:eastAsia="zh-CN" w:bidi="ar-SA"/>
              </w:rPr>
              <w:t>）</w:t>
            </w:r>
          </w:p>
        </w:tc>
        <w:tc>
          <w:tcPr>
            <w:tcW w:w="2578" w:type="pct"/>
            <w:vMerge w:val="restart"/>
            <w:tcBorders>
              <w:bottom w:val="nil"/>
            </w:tcBorders>
            <w:noWrap w:val="0"/>
            <w:vAlign w:val="top"/>
          </w:tcPr>
          <w:p w14:paraId="45F7FCCE">
            <w:pPr>
              <w:kinsoku w:val="0"/>
              <w:autoSpaceDE w:val="0"/>
              <w:autoSpaceDN w:val="0"/>
              <w:adjustRightInd w:val="0"/>
              <w:snapToGrid w:val="0"/>
              <w:spacing w:line="208" w:lineRule="auto"/>
              <w:ind w:left="122" w:right="71"/>
              <w:jc w:val="left"/>
              <w:textAlignment w:val="baseline"/>
              <w:rPr>
                <w:rFonts w:hint="default" w:ascii="Times New Roman" w:hAnsi="Times New Roman" w:eastAsia="宋体" w:cs="Times New Roman"/>
                <w:snapToGrid w:val="0"/>
                <w:color w:val="000000"/>
                <w:spacing w:val="-6"/>
                <w:kern w:val="0"/>
                <w:sz w:val="19"/>
                <w:szCs w:val="19"/>
                <w:lang w:val="en-US" w:eastAsia="en-US" w:bidi="ar-SA"/>
              </w:rPr>
            </w:pPr>
          </w:p>
          <w:p w14:paraId="51BDCA1A">
            <w:pPr>
              <w:kinsoku w:val="0"/>
              <w:autoSpaceDE w:val="0"/>
              <w:autoSpaceDN w:val="0"/>
              <w:adjustRightInd w:val="0"/>
              <w:snapToGrid w:val="0"/>
              <w:spacing w:line="208" w:lineRule="auto"/>
              <w:ind w:left="122" w:right="71"/>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21"/>
                <w:szCs w:val="21"/>
                <w:lang w:val="en-US" w:eastAsia="en-US" w:bidi="ar-SA"/>
              </w:rPr>
              <w:t>根据单位是否设立专门内网，计算机配置标准如下：设立专门内网的单位，台式计算机、便携式计算机数量上限分别为单位编制人数的100</w:t>
            </w:r>
            <w:r>
              <w:rPr>
                <w:rFonts w:hint="default" w:ascii="Times New Roman" w:hAnsi="Times New Roman" w:eastAsia="宋体" w:cs="Times New Roman"/>
                <w:snapToGrid w:val="0"/>
                <w:color w:val="000000"/>
                <w:spacing w:val="-6"/>
                <w:kern w:val="0"/>
                <w:sz w:val="21"/>
                <w:szCs w:val="21"/>
                <w:lang w:val="en-US" w:eastAsia="zh-CN" w:bidi="ar-SA"/>
              </w:rPr>
              <w:t>％</w:t>
            </w:r>
            <w:r>
              <w:rPr>
                <w:rFonts w:hint="default" w:ascii="Times New Roman" w:hAnsi="Times New Roman" w:eastAsia="宋体" w:cs="Times New Roman"/>
                <w:snapToGrid w:val="0"/>
                <w:color w:val="000000"/>
                <w:spacing w:val="-6"/>
                <w:kern w:val="0"/>
                <w:sz w:val="21"/>
                <w:szCs w:val="21"/>
                <w:lang w:val="en-US" w:eastAsia="en-US" w:bidi="ar-SA"/>
              </w:rPr>
              <w:t>，且两类计算机合计人均数量不超过2台。未设立专门内网的单位，台式计算机数量上限为单位编制人数的100</w:t>
            </w:r>
            <w:r>
              <w:rPr>
                <w:rFonts w:hint="default" w:ascii="Times New Roman" w:hAnsi="Times New Roman" w:eastAsia="宋体" w:cs="Times New Roman"/>
                <w:snapToGrid w:val="0"/>
                <w:color w:val="000000"/>
                <w:spacing w:val="-6"/>
                <w:kern w:val="0"/>
                <w:sz w:val="21"/>
                <w:szCs w:val="21"/>
                <w:lang w:val="en-US" w:eastAsia="zh-CN" w:bidi="ar-SA"/>
              </w:rPr>
              <w:t>％</w:t>
            </w:r>
            <w:r>
              <w:rPr>
                <w:rFonts w:hint="default" w:ascii="Times New Roman" w:hAnsi="Times New Roman" w:eastAsia="宋体" w:cs="Times New Roman"/>
                <w:snapToGrid w:val="0"/>
                <w:color w:val="000000"/>
                <w:spacing w:val="-6"/>
                <w:kern w:val="0"/>
                <w:sz w:val="21"/>
                <w:szCs w:val="21"/>
                <w:lang w:val="en-US" w:eastAsia="en-US" w:bidi="ar-SA"/>
              </w:rPr>
              <w:t>，便携式计算机上限为单位编制人数的30</w:t>
            </w:r>
            <w:r>
              <w:rPr>
                <w:rFonts w:hint="default" w:ascii="Times New Roman" w:hAnsi="Times New Roman" w:eastAsia="宋体" w:cs="Times New Roman"/>
                <w:snapToGrid w:val="0"/>
                <w:color w:val="000000"/>
                <w:spacing w:val="-6"/>
                <w:kern w:val="0"/>
                <w:sz w:val="21"/>
                <w:szCs w:val="21"/>
                <w:lang w:val="en-US" w:eastAsia="zh-CN" w:bidi="ar-SA"/>
              </w:rPr>
              <w:t>％</w:t>
            </w:r>
            <w:r>
              <w:rPr>
                <w:rFonts w:hint="default" w:ascii="Times New Roman" w:hAnsi="Times New Roman" w:eastAsia="宋体" w:cs="Times New Roman"/>
                <w:snapToGrid w:val="0"/>
                <w:color w:val="000000"/>
                <w:spacing w:val="-6"/>
                <w:kern w:val="0"/>
                <w:sz w:val="21"/>
                <w:szCs w:val="21"/>
                <w:lang w:val="en-US" w:eastAsia="en-US" w:bidi="ar-SA"/>
              </w:rPr>
              <w:t>，且两类计算机合计人均数量不超过1.5台。外勤单位可依据机构职能与工作实际，在不超过人均总量上限的前提下，适当调整台式计算机与便携式计算机的配置比例。长期聘用人员及业务所需使用的计算机等通用办公设备，其数量另行核定。</w:t>
            </w:r>
          </w:p>
        </w:tc>
        <w:tc>
          <w:tcPr>
            <w:tcW w:w="431" w:type="pct"/>
            <w:noWrap w:val="0"/>
            <w:vAlign w:val="top"/>
          </w:tcPr>
          <w:p w14:paraId="69397CEA">
            <w:pPr>
              <w:widowControl/>
              <w:kinsoku w:val="0"/>
              <w:autoSpaceDE w:val="0"/>
              <w:autoSpaceDN w:val="0"/>
              <w:adjustRightInd w:val="0"/>
              <w:snapToGrid w:val="0"/>
              <w:spacing w:line="431" w:lineRule="auto"/>
              <w:jc w:val="left"/>
              <w:textAlignment w:val="baseline"/>
              <w:rPr>
                <w:rFonts w:hint="default" w:ascii="Times New Roman" w:hAnsi="Times New Roman" w:eastAsia="Arial" w:cs="Times New Roman"/>
                <w:snapToGrid w:val="0"/>
                <w:color w:val="000000"/>
                <w:kern w:val="0"/>
                <w:sz w:val="21"/>
                <w:szCs w:val="21"/>
                <w:lang w:eastAsia="en-US"/>
              </w:rPr>
            </w:pPr>
          </w:p>
          <w:p w14:paraId="3490C9F8">
            <w:pPr>
              <w:kinsoku w:val="0"/>
              <w:autoSpaceDE w:val="0"/>
              <w:autoSpaceDN w:val="0"/>
              <w:adjustRightInd w:val="0"/>
              <w:snapToGrid w:val="0"/>
              <w:spacing w:before="62" w:line="216" w:lineRule="auto"/>
              <w:ind w:firstLine="186"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5000</w:t>
            </w:r>
          </w:p>
        </w:tc>
        <w:tc>
          <w:tcPr>
            <w:tcW w:w="550" w:type="pct"/>
            <w:noWrap w:val="0"/>
            <w:vAlign w:val="top"/>
          </w:tcPr>
          <w:p w14:paraId="5C4D8E94">
            <w:pPr>
              <w:widowControl/>
              <w:kinsoku w:val="0"/>
              <w:autoSpaceDE w:val="0"/>
              <w:autoSpaceDN w:val="0"/>
              <w:adjustRightInd w:val="0"/>
              <w:snapToGrid w:val="0"/>
              <w:spacing w:line="452" w:lineRule="auto"/>
              <w:jc w:val="left"/>
              <w:textAlignment w:val="baseline"/>
              <w:rPr>
                <w:rFonts w:hint="default" w:ascii="Times New Roman" w:hAnsi="Times New Roman" w:eastAsia="Arial" w:cs="Times New Roman"/>
                <w:snapToGrid w:val="0"/>
                <w:color w:val="000000"/>
                <w:kern w:val="0"/>
                <w:sz w:val="21"/>
                <w:szCs w:val="21"/>
                <w:lang w:eastAsia="en-US"/>
              </w:rPr>
            </w:pPr>
          </w:p>
          <w:p w14:paraId="2F3AB98E">
            <w:pPr>
              <w:kinsoku w:val="0"/>
              <w:autoSpaceDE w:val="0"/>
              <w:autoSpaceDN w:val="0"/>
              <w:adjustRightInd w:val="0"/>
              <w:snapToGrid w:val="0"/>
              <w:spacing w:before="62" w:line="24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restart"/>
            <w:tcBorders>
              <w:bottom w:val="nil"/>
            </w:tcBorders>
            <w:noWrap w:val="0"/>
            <w:vAlign w:val="center"/>
          </w:tcPr>
          <w:p w14:paraId="7DC787E8">
            <w:pPr>
              <w:kinsoku w:val="0"/>
              <w:autoSpaceDE w:val="0"/>
              <w:autoSpaceDN w:val="0"/>
              <w:adjustRightInd w:val="0"/>
              <w:snapToGrid w:val="0"/>
              <w:spacing w:before="62" w:line="305" w:lineRule="auto"/>
              <w:ind w:left="89" w:right="59"/>
              <w:jc w:val="both"/>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5"/>
                <w:kern w:val="0"/>
                <w:sz w:val="19"/>
                <w:szCs w:val="19"/>
                <w:lang w:val="en-US" w:eastAsia="en-US" w:bidi="ar-SA"/>
              </w:rPr>
              <w:t>按照《</w:t>
            </w:r>
            <w:r>
              <w:rPr>
                <w:rFonts w:hint="default" w:ascii="Times New Roman" w:hAnsi="Times New Roman" w:eastAsia="宋体" w:cs="Times New Roman"/>
                <w:snapToGrid w:val="0"/>
                <w:color w:val="000000"/>
                <w:spacing w:val="5"/>
                <w:kern w:val="0"/>
                <w:sz w:val="19"/>
                <w:szCs w:val="19"/>
                <w:lang w:val="en-US" w:eastAsia="zh-CN" w:bidi="ar-SA"/>
              </w:rPr>
              <w:t>中华人民共和国政府采购法</w:t>
            </w:r>
            <w:r>
              <w:rPr>
                <w:rFonts w:hint="default" w:ascii="Times New Roman" w:hAnsi="Times New Roman" w:eastAsia="宋体" w:cs="Times New Roman"/>
                <w:snapToGrid w:val="0"/>
                <w:color w:val="000000"/>
                <w:spacing w:val="6"/>
                <w:kern w:val="0"/>
                <w:sz w:val="19"/>
                <w:szCs w:val="19"/>
                <w:lang w:val="en-US" w:eastAsia="en-US" w:bidi="ar-SA"/>
              </w:rPr>
              <w:t>》</w:t>
            </w:r>
            <w:r>
              <w:rPr>
                <w:rFonts w:hint="default" w:ascii="Times New Roman" w:hAnsi="Times New Roman" w:eastAsia="宋体" w:cs="Times New Roman"/>
                <w:snapToGrid w:val="0"/>
                <w:color w:val="000000"/>
                <w:spacing w:val="-1"/>
                <w:kern w:val="0"/>
                <w:sz w:val="19"/>
                <w:szCs w:val="19"/>
                <w:lang w:val="en-US" w:eastAsia="en-US" w:bidi="ar-SA"/>
              </w:rPr>
              <w:t>以及台式</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21"/>
                <w:kern w:val="0"/>
                <w:sz w:val="19"/>
                <w:szCs w:val="19"/>
                <w:lang w:val="en-US" w:eastAsia="en-US" w:bidi="ar-SA"/>
              </w:rPr>
              <w:t>计算机、</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便携式计</w:t>
            </w:r>
            <w:r>
              <w:rPr>
                <w:rFonts w:hint="default" w:ascii="Times New Roman" w:hAnsi="Times New Roman" w:eastAsia="宋体" w:cs="Times New Roman"/>
                <w:snapToGrid w:val="0"/>
                <w:color w:val="000000"/>
                <w:spacing w:val="1"/>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算机、一</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体式计算</w:t>
            </w:r>
            <w:r>
              <w:rPr>
                <w:rFonts w:hint="default" w:ascii="Times New Roman" w:hAnsi="Times New Roman" w:eastAsia="宋体" w:cs="Times New Roman"/>
                <w:snapToGrid w:val="0"/>
                <w:color w:val="000000"/>
                <w:spacing w:val="1"/>
                <w:kern w:val="0"/>
                <w:sz w:val="19"/>
                <w:szCs w:val="19"/>
                <w:lang w:val="en-US" w:eastAsia="en-US" w:bidi="ar-SA"/>
              </w:rPr>
              <w:t xml:space="preserve">  </w:t>
            </w:r>
            <w:r>
              <w:rPr>
                <w:rFonts w:hint="default" w:ascii="Times New Roman" w:hAnsi="Times New Roman" w:eastAsia="宋体" w:cs="Times New Roman"/>
                <w:snapToGrid w:val="0"/>
                <w:color w:val="000000"/>
                <w:spacing w:val="-4"/>
                <w:kern w:val="0"/>
                <w:sz w:val="19"/>
                <w:szCs w:val="19"/>
                <w:lang w:val="en-US" w:eastAsia="en-US" w:bidi="ar-SA"/>
              </w:rPr>
              <w:t>机等政府</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4"/>
                <w:kern w:val="0"/>
                <w:sz w:val="19"/>
                <w:szCs w:val="19"/>
                <w:lang w:val="en-US" w:eastAsia="en-US" w:bidi="ar-SA"/>
              </w:rPr>
              <w:t>采购需求</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1"/>
                <w:kern w:val="0"/>
                <w:sz w:val="19"/>
                <w:szCs w:val="19"/>
                <w:lang w:val="en-US" w:eastAsia="en-US" w:bidi="ar-SA"/>
              </w:rPr>
              <w:t>标准等相</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9"/>
                <w:kern w:val="0"/>
                <w:sz w:val="19"/>
                <w:szCs w:val="19"/>
                <w:lang w:val="en-US" w:eastAsia="en-US" w:bidi="ar-SA"/>
              </w:rPr>
              <w:t>关规定，</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配置具有</w:t>
            </w:r>
            <w:r>
              <w:rPr>
                <w:rFonts w:hint="default" w:ascii="Times New Roman" w:hAnsi="Times New Roman" w:eastAsia="宋体" w:cs="Times New Roman"/>
                <w:snapToGrid w:val="0"/>
                <w:color w:val="000000"/>
                <w:spacing w:val="1"/>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较强安全</w:t>
            </w:r>
            <w:r>
              <w:rPr>
                <w:rFonts w:hint="default" w:ascii="Times New Roman" w:hAnsi="Times New Roman" w:eastAsia="宋体" w:cs="Times New Roman"/>
                <w:snapToGrid w:val="0"/>
                <w:color w:val="000000"/>
                <w:spacing w:val="1"/>
                <w:kern w:val="0"/>
                <w:sz w:val="19"/>
                <w:szCs w:val="19"/>
                <w:lang w:val="en-US" w:eastAsia="en-US" w:bidi="ar-SA"/>
              </w:rPr>
              <w:t xml:space="preserve">  </w:t>
            </w:r>
            <w:r>
              <w:rPr>
                <w:rFonts w:hint="default" w:ascii="Times New Roman" w:hAnsi="Times New Roman" w:eastAsia="宋体" w:cs="Times New Roman"/>
                <w:snapToGrid w:val="0"/>
                <w:color w:val="000000"/>
                <w:kern w:val="0"/>
                <w:sz w:val="19"/>
                <w:szCs w:val="19"/>
                <w:lang w:val="en-US" w:eastAsia="en-US" w:bidi="ar-SA"/>
              </w:rPr>
              <w:t>性、稳定</w:t>
            </w:r>
            <w:r>
              <w:rPr>
                <w:rFonts w:hint="default" w:ascii="Times New Roman" w:hAnsi="Times New Roman" w:eastAsia="宋体" w:cs="Times New Roman"/>
                <w:snapToGrid w:val="0"/>
                <w:color w:val="000000"/>
                <w:spacing w:val="1"/>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性、兼容</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性，且能</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5"/>
                <w:kern w:val="0"/>
                <w:sz w:val="19"/>
                <w:szCs w:val="19"/>
                <w:lang w:val="en-US" w:eastAsia="en-US" w:bidi="ar-SA"/>
              </w:rPr>
              <w:t>耗低、维</w:t>
            </w:r>
            <w:r>
              <w:rPr>
                <w:rFonts w:hint="default" w:ascii="Times New Roman" w:hAnsi="Times New Roman" w:eastAsia="宋体" w:cs="Times New Roman"/>
                <w:snapToGrid w:val="0"/>
                <w:color w:val="000000"/>
                <w:spacing w:val="1"/>
                <w:kern w:val="0"/>
                <w:sz w:val="19"/>
                <w:szCs w:val="19"/>
                <w:lang w:val="en-US" w:eastAsia="en-US" w:bidi="ar-SA"/>
              </w:rPr>
              <w:t xml:space="preserve">  修便利的</w:t>
            </w:r>
          </w:p>
          <w:p w14:paraId="70D48615">
            <w:pPr>
              <w:kinsoku w:val="0"/>
              <w:autoSpaceDE w:val="0"/>
              <w:autoSpaceDN w:val="0"/>
              <w:adjustRightInd w:val="0"/>
              <w:snapToGrid w:val="0"/>
              <w:spacing w:before="1" w:line="311" w:lineRule="auto"/>
              <w:ind w:left="89" w:right="40"/>
              <w:jc w:val="both"/>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设备，不</w:t>
            </w:r>
            <w:r>
              <w:rPr>
                <w:rFonts w:hint="default" w:ascii="Times New Roman" w:hAnsi="Times New Roman" w:eastAsia="宋体" w:cs="Times New Roman"/>
                <w:snapToGrid w:val="0"/>
                <w:color w:val="000000"/>
                <w:spacing w:val="1"/>
                <w:kern w:val="0"/>
                <w:sz w:val="19"/>
                <w:szCs w:val="19"/>
                <w:lang w:val="en-US" w:eastAsia="en-US" w:bidi="ar-SA"/>
              </w:rPr>
              <w:t xml:space="preserve"> </w:t>
            </w:r>
            <w:r>
              <w:rPr>
                <w:rFonts w:hint="default" w:ascii="Times New Roman" w:hAnsi="Times New Roman" w:eastAsia="宋体" w:cs="Times New Roman"/>
                <w:snapToGrid w:val="0"/>
                <w:color w:val="000000"/>
                <w:spacing w:val="-3"/>
                <w:kern w:val="0"/>
                <w:sz w:val="19"/>
                <w:szCs w:val="19"/>
                <w:lang w:val="en-US" w:eastAsia="en-US" w:bidi="ar-SA"/>
              </w:rPr>
              <w:t>得配置高</w:t>
            </w:r>
            <w:r>
              <w:rPr>
                <w:rFonts w:hint="default" w:ascii="Times New Roman" w:hAnsi="Times New Roman" w:eastAsia="宋体" w:cs="Times New Roman"/>
                <w:snapToGrid w:val="0"/>
                <w:color w:val="000000"/>
                <w:spacing w:val="2"/>
                <w:kern w:val="0"/>
                <w:sz w:val="19"/>
                <w:szCs w:val="19"/>
                <w:lang w:val="en-US" w:eastAsia="en-US" w:bidi="ar-SA"/>
              </w:rPr>
              <w:t xml:space="preserve"> </w:t>
            </w:r>
            <w:r>
              <w:rPr>
                <w:rFonts w:hint="default" w:ascii="Times New Roman" w:hAnsi="Times New Roman" w:eastAsia="宋体" w:cs="Times New Roman"/>
                <w:snapToGrid w:val="0"/>
                <w:color w:val="000000"/>
                <w:spacing w:val="11"/>
                <w:kern w:val="0"/>
                <w:sz w:val="19"/>
                <w:szCs w:val="19"/>
                <w:lang w:val="en-US" w:eastAsia="en-US" w:bidi="ar-SA"/>
              </w:rPr>
              <w:t>端设备。</w:t>
            </w:r>
          </w:p>
        </w:tc>
      </w:tr>
      <w:tr w14:paraId="4D967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8" w:hRule="atLeast"/>
        </w:trPr>
        <w:tc>
          <w:tcPr>
            <w:tcW w:w="1010" w:type="pct"/>
            <w:gridSpan w:val="2"/>
            <w:noWrap w:val="0"/>
            <w:vAlign w:val="top"/>
          </w:tcPr>
          <w:p w14:paraId="4B261786">
            <w:pPr>
              <w:widowControl/>
              <w:kinsoku w:val="0"/>
              <w:autoSpaceDE w:val="0"/>
              <w:autoSpaceDN w:val="0"/>
              <w:adjustRightInd w:val="0"/>
              <w:snapToGrid w:val="0"/>
              <w:spacing w:line="301" w:lineRule="auto"/>
              <w:jc w:val="left"/>
              <w:textAlignment w:val="baseline"/>
              <w:rPr>
                <w:rFonts w:hint="default" w:ascii="Times New Roman" w:hAnsi="Times New Roman" w:eastAsia="Arial" w:cs="Times New Roman"/>
                <w:snapToGrid w:val="0"/>
                <w:color w:val="000000"/>
                <w:kern w:val="0"/>
                <w:sz w:val="21"/>
                <w:szCs w:val="21"/>
                <w:lang w:eastAsia="en-US"/>
              </w:rPr>
            </w:pPr>
          </w:p>
          <w:p w14:paraId="036F3503">
            <w:pPr>
              <w:kinsoku w:val="0"/>
              <w:autoSpaceDE w:val="0"/>
              <w:autoSpaceDN w:val="0"/>
              <w:adjustRightInd w:val="0"/>
              <w:snapToGrid w:val="0"/>
              <w:spacing w:before="61" w:line="219" w:lineRule="auto"/>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snapToGrid w:val="0"/>
                <w:color w:val="000000"/>
                <w:spacing w:val="-2"/>
                <w:kern w:val="0"/>
                <w:sz w:val="19"/>
                <w:szCs w:val="19"/>
                <w:lang w:val="en-US" w:eastAsia="en-US" w:bidi="ar-SA"/>
              </w:rPr>
              <w:t>便携式计算机</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含预装正版操作系统</w:t>
            </w:r>
            <w:r>
              <w:rPr>
                <w:rFonts w:hint="default" w:ascii="Times New Roman" w:hAnsi="Times New Roman" w:eastAsia="宋体" w:cs="Times New Roman"/>
                <w:snapToGrid w:val="0"/>
                <w:color w:val="000000"/>
                <w:spacing w:val="15"/>
                <w:kern w:val="0"/>
                <w:sz w:val="19"/>
                <w:szCs w:val="19"/>
                <w:lang w:val="en-US" w:eastAsia="en-US" w:bidi="ar-SA"/>
              </w:rPr>
              <w:t>软件</w:t>
            </w:r>
            <w:r>
              <w:rPr>
                <w:rFonts w:hint="default" w:ascii="Times New Roman" w:hAnsi="Times New Roman" w:eastAsia="宋体" w:cs="Times New Roman"/>
                <w:snapToGrid w:val="0"/>
                <w:color w:val="000000"/>
                <w:spacing w:val="15"/>
                <w:kern w:val="0"/>
                <w:sz w:val="19"/>
                <w:szCs w:val="19"/>
                <w:lang w:val="en-US" w:eastAsia="zh-CN" w:bidi="ar-SA"/>
              </w:rPr>
              <w:t>）</w:t>
            </w:r>
          </w:p>
        </w:tc>
        <w:tc>
          <w:tcPr>
            <w:tcW w:w="2578" w:type="pct"/>
            <w:vMerge w:val="continue"/>
            <w:tcBorders>
              <w:top w:val="nil"/>
            </w:tcBorders>
            <w:noWrap w:val="0"/>
            <w:vAlign w:val="top"/>
          </w:tcPr>
          <w:p w14:paraId="335F8814">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431" w:type="pct"/>
            <w:noWrap w:val="0"/>
            <w:vAlign w:val="top"/>
          </w:tcPr>
          <w:p w14:paraId="3AD54EDA">
            <w:pPr>
              <w:widowControl/>
              <w:kinsoku w:val="0"/>
              <w:autoSpaceDE w:val="0"/>
              <w:autoSpaceDN w:val="0"/>
              <w:adjustRightInd w:val="0"/>
              <w:snapToGrid w:val="0"/>
              <w:spacing w:line="273" w:lineRule="auto"/>
              <w:jc w:val="left"/>
              <w:textAlignment w:val="baseline"/>
              <w:rPr>
                <w:rFonts w:hint="default" w:ascii="Times New Roman" w:hAnsi="Times New Roman" w:eastAsia="Arial" w:cs="Times New Roman"/>
                <w:snapToGrid w:val="0"/>
                <w:color w:val="000000"/>
                <w:kern w:val="0"/>
                <w:sz w:val="21"/>
                <w:szCs w:val="21"/>
                <w:lang w:eastAsia="en-US"/>
              </w:rPr>
            </w:pPr>
          </w:p>
          <w:p w14:paraId="353B1BAF">
            <w:pPr>
              <w:widowControl/>
              <w:kinsoku w:val="0"/>
              <w:autoSpaceDE w:val="0"/>
              <w:autoSpaceDN w:val="0"/>
              <w:adjustRightInd w:val="0"/>
              <w:snapToGrid w:val="0"/>
              <w:spacing w:line="274" w:lineRule="auto"/>
              <w:jc w:val="left"/>
              <w:textAlignment w:val="baseline"/>
              <w:rPr>
                <w:rFonts w:hint="default" w:ascii="Times New Roman" w:hAnsi="Times New Roman" w:eastAsia="Arial" w:cs="Times New Roman"/>
                <w:snapToGrid w:val="0"/>
                <w:color w:val="000000"/>
                <w:kern w:val="0"/>
                <w:sz w:val="21"/>
                <w:szCs w:val="21"/>
                <w:lang w:eastAsia="en-US"/>
              </w:rPr>
            </w:pPr>
          </w:p>
          <w:p w14:paraId="218F58F2">
            <w:pPr>
              <w:kinsoku w:val="0"/>
              <w:autoSpaceDE w:val="0"/>
              <w:autoSpaceDN w:val="0"/>
              <w:adjustRightInd w:val="0"/>
              <w:snapToGrid w:val="0"/>
              <w:spacing w:before="62" w:line="216" w:lineRule="auto"/>
              <w:ind w:firstLine="186"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7000</w:t>
            </w:r>
          </w:p>
        </w:tc>
        <w:tc>
          <w:tcPr>
            <w:tcW w:w="550" w:type="pct"/>
            <w:noWrap w:val="0"/>
            <w:vAlign w:val="top"/>
          </w:tcPr>
          <w:p w14:paraId="55774EA5">
            <w:pPr>
              <w:widowControl/>
              <w:kinsoku w:val="0"/>
              <w:autoSpaceDE w:val="0"/>
              <w:autoSpaceDN w:val="0"/>
              <w:adjustRightInd w:val="0"/>
              <w:snapToGrid w:val="0"/>
              <w:spacing w:line="280" w:lineRule="auto"/>
              <w:jc w:val="left"/>
              <w:textAlignment w:val="baseline"/>
              <w:rPr>
                <w:rFonts w:hint="default" w:ascii="Times New Roman" w:hAnsi="Times New Roman" w:eastAsia="Arial" w:cs="Times New Roman"/>
                <w:snapToGrid w:val="0"/>
                <w:color w:val="000000"/>
                <w:kern w:val="0"/>
                <w:sz w:val="21"/>
                <w:szCs w:val="21"/>
                <w:lang w:eastAsia="en-US"/>
              </w:rPr>
            </w:pPr>
          </w:p>
          <w:p w14:paraId="1C153507">
            <w:pPr>
              <w:widowControl/>
              <w:kinsoku w:val="0"/>
              <w:autoSpaceDE w:val="0"/>
              <w:autoSpaceDN w:val="0"/>
              <w:adjustRightInd w:val="0"/>
              <w:snapToGrid w:val="0"/>
              <w:spacing w:line="281" w:lineRule="auto"/>
              <w:jc w:val="left"/>
              <w:textAlignment w:val="baseline"/>
              <w:rPr>
                <w:rFonts w:hint="default" w:ascii="Times New Roman" w:hAnsi="Times New Roman" w:eastAsia="Arial" w:cs="Times New Roman"/>
                <w:snapToGrid w:val="0"/>
                <w:color w:val="000000"/>
                <w:kern w:val="0"/>
                <w:sz w:val="21"/>
                <w:szCs w:val="21"/>
                <w:lang w:eastAsia="en-US"/>
              </w:rPr>
            </w:pPr>
          </w:p>
          <w:p w14:paraId="51A6E1F9">
            <w:pPr>
              <w:kinsoku w:val="0"/>
              <w:autoSpaceDE w:val="0"/>
              <w:autoSpaceDN w:val="0"/>
              <w:adjustRightInd w:val="0"/>
              <w:snapToGrid w:val="0"/>
              <w:spacing w:before="62" w:line="24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25AD8751">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4440B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349" w:type="pct"/>
            <w:vMerge w:val="restart"/>
            <w:tcBorders>
              <w:bottom w:val="nil"/>
            </w:tcBorders>
            <w:noWrap w:val="0"/>
            <w:textDirection w:val="tbRlV"/>
            <w:vAlign w:val="top"/>
          </w:tcPr>
          <w:p w14:paraId="640D126B">
            <w:pPr>
              <w:kinsoku w:val="0"/>
              <w:autoSpaceDE w:val="0"/>
              <w:autoSpaceDN w:val="0"/>
              <w:adjustRightInd w:val="0"/>
              <w:snapToGrid w:val="0"/>
              <w:spacing w:before="157" w:line="201" w:lineRule="auto"/>
              <w:ind w:left="63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打</w:t>
            </w:r>
            <w:r>
              <w:rPr>
                <w:rFonts w:hint="default" w:ascii="Times New Roman" w:hAnsi="Times New Roman" w:eastAsia="宋体" w:cs="Times New Roman"/>
                <w:snapToGrid w:val="0"/>
                <w:color w:val="000000"/>
                <w:spacing w:val="-13"/>
                <w:kern w:val="0"/>
                <w:sz w:val="19"/>
                <w:szCs w:val="19"/>
                <w:lang w:val="en-US" w:eastAsia="en-US" w:bidi="ar-SA"/>
              </w:rPr>
              <w:t xml:space="preserve"> </w:t>
            </w:r>
            <w:r>
              <w:rPr>
                <w:rFonts w:hint="default" w:ascii="Times New Roman" w:hAnsi="Times New Roman" w:eastAsia="宋体" w:cs="Times New Roman"/>
                <w:snapToGrid w:val="0"/>
                <w:color w:val="000000"/>
                <w:kern w:val="0"/>
                <w:sz w:val="19"/>
                <w:szCs w:val="19"/>
                <w:lang w:val="en-US" w:eastAsia="en-US" w:bidi="ar-SA"/>
              </w:rPr>
              <w:t>印</w:t>
            </w:r>
            <w:r>
              <w:rPr>
                <w:rFonts w:hint="default" w:ascii="Times New Roman" w:hAnsi="Times New Roman" w:eastAsia="宋体" w:cs="Times New Roman"/>
                <w:snapToGrid w:val="0"/>
                <w:color w:val="000000"/>
                <w:spacing w:val="-13"/>
                <w:kern w:val="0"/>
                <w:sz w:val="19"/>
                <w:szCs w:val="19"/>
                <w:lang w:val="en-US" w:eastAsia="en-US" w:bidi="ar-SA"/>
              </w:rPr>
              <w:t xml:space="preserve"> </w:t>
            </w:r>
            <w:r>
              <w:rPr>
                <w:rFonts w:hint="default" w:ascii="Times New Roman" w:hAnsi="Times New Roman" w:eastAsia="宋体" w:cs="Times New Roman"/>
                <w:snapToGrid w:val="0"/>
                <w:color w:val="000000"/>
                <w:kern w:val="0"/>
                <w:sz w:val="19"/>
                <w:szCs w:val="19"/>
                <w:lang w:val="en-US" w:eastAsia="en-US" w:bidi="ar-SA"/>
              </w:rPr>
              <w:t>机</w:t>
            </w:r>
          </w:p>
        </w:tc>
        <w:tc>
          <w:tcPr>
            <w:tcW w:w="660" w:type="pct"/>
            <w:noWrap w:val="0"/>
            <w:vAlign w:val="top"/>
          </w:tcPr>
          <w:p w14:paraId="5FC253EE">
            <w:pPr>
              <w:kinsoku w:val="0"/>
              <w:autoSpaceDE w:val="0"/>
              <w:autoSpaceDN w:val="0"/>
              <w:adjustRightInd w:val="0"/>
              <w:snapToGrid w:val="0"/>
              <w:spacing w:before="70" w:line="219" w:lineRule="auto"/>
              <w:ind w:firstLine="188"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
                <w:kern w:val="0"/>
                <w:sz w:val="19"/>
                <w:szCs w:val="19"/>
                <w:lang w:val="en-US" w:eastAsia="en-US" w:bidi="ar-SA"/>
              </w:rPr>
              <w:t>A4打印机</w:t>
            </w:r>
          </w:p>
        </w:tc>
        <w:tc>
          <w:tcPr>
            <w:tcW w:w="2578" w:type="pct"/>
            <w:noWrap w:val="0"/>
            <w:vAlign w:val="top"/>
          </w:tcPr>
          <w:p w14:paraId="3ABF2F12">
            <w:pPr>
              <w:kinsoku w:val="0"/>
              <w:autoSpaceDE w:val="0"/>
              <w:autoSpaceDN w:val="0"/>
              <w:adjustRightInd w:val="0"/>
              <w:snapToGrid w:val="0"/>
              <w:spacing w:before="71"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snapToGrid w:val="0"/>
                <w:color w:val="000000"/>
                <w:kern w:val="0"/>
                <w:sz w:val="19"/>
                <w:szCs w:val="19"/>
                <w:lang w:val="en-US" w:eastAsia="zh-CN" w:bidi="ar-SA"/>
              </w:rPr>
              <w:t>设备</w:t>
            </w:r>
            <w:r>
              <w:rPr>
                <w:rFonts w:hint="default" w:ascii="Times New Roman" w:hAnsi="Times New Roman" w:eastAsia="宋体" w:cs="Times New Roman"/>
                <w:snapToGrid w:val="0"/>
                <w:color w:val="000000"/>
                <w:kern w:val="0"/>
                <w:sz w:val="19"/>
                <w:szCs w:val="19"/>
                <w:lang w:val="en-US" w:eastAsia="en-US" w:bidi="ar-SA"/>
              </w:rPr>
              <w:t>配置数量上限按单位编制人数的50</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计算。</w:t>
            </w:r>
            <w:r>
              <w:rPr>
                <w:rFonts w:hint="default" w:ascii="Times New Roman" w:hAnsi="Times New Roman" w:eastAsia="宋体" w:cs="Times New Roman"/>
                <w:snapToGrid w:val="0"/>
                <w:color w:val="000000"/>
                <w:kern w:val="0"/>
                <w:sz w:val="19"/>
                <w:szCs w:val="19"/>
                <w:lang w:val="en-US" w:eastAsia="zh-CN" w:bidi="ar-SA"/>
              </w:rPr>
              <w:t>如：单位人数为10人，最高可配置5台。</w:t>
            </w:r>
          </w:p>
        </w:tc>
        <w:tc>
          <w:tcPr>
            <w:tcW w:w="431" w:type="pct"/>
            <w:noWrap w:val="0"/>
            <w:vAlign w:val="top"/>
          </w:tcPr>
          <w:p w14:paraId="41A60A88">
            <w:pPr>
              <w:kinsoku w:val="0"/>
              <w:autoSpaceDE w:val="0"/>
              <w:autoSpaceDN w:val="0"/>
              <w:adjustRightInd w:val="0"/>
              <w:snapToGrid w:val="0"/>
              <w:spacing w:before="69"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snapToGrid w:val="0"/>
                <w:color w:val="000000"/>
                <w:spacing w:val="-2"/>
                <w:kern w:val="0"/>
                <w:sz w:val="19"/>
                <w:szCs w:val="19"/>
                <w:lang w:val="en-US" w:eastAsia="zh-CN" w:bidi="ar-SA"/>
              </w:rPr>
              <w:t>2300</w:t>
            </w:r>
          </w:p>
        </w:tc>
        <w:tc>
          <w:tcPr>
            <w:tcW w:w="550" w:type="pct"/>
            <w:noWrap w:val="0"/>
            <w:vAlign w:val="top"/>
          </w:tcPr>
          <w:p w14:paraId="68CC41BF">
            <w:pPr>
              <w:kinsoku w:val="0"/>
              <w:autoSpaceDE w:val="0"/>
              <w:autoSpaceDN w:val="0"/>
              <w:adjustRightInd w:val="0"/>
              <w:snapToGrid w:val="0"/>
              <w:spacing w:before="90" w:line="212"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3B13634B">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77B22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49" w:type="pct"/>
            <w:vMerge w:val="continue"/>
            <w:tcBorders>
              <w:top w:val="nil"/>
              <w:bottom w:val="nil"/>
            </w:tcBorders>
            <w:noWrap w:val="0"/>
            <w:textDirection w:val="tbRlV"/>
            <w:vAlign w:val="top"/>
          </w:tcPr>
          <w:p w14:paraId="6A16065C">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noWrap w:val="0"/>
            <w:vAlign w:val="top"/>
          </w:tcPr>
          <w:p w14:paraId="0B42C6D0">
            <w:pPr>
              <w:kinsoku w:val="0"/>
              <w:autoSpaceDE w:val="0"/>
              <w:autoSpaceDN w:val="0"/>
              <w:adjustRightInd w:val="0"/>
              <w:snapToGrid w:val="0"/>
              <w:spacing w:before="51" w:line="212" w:lineRule="auto"/>
              <w:ind w:firstLine="188"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
                <w:kern w:val="0"/>
                <w:sz w:val="19"/>
                <w:szCs w:val="19"/>
                <w:lang w:val="en-US" w:eastAsia="en-US" w:bidi="ar-SA"/>
              </w:rPr>
              <w:t>A3打印机</w:t>
            </w:r>
          </w:p>
        </w:tc>
        <w:tc>
          <w:tcPr>
            <w:tcW w:w="2578" w:type="pct"/>
            <w:noWrap w:val="0"/>
            <w:vAlign w:val="top"/>
          </w:tcPr>
          <w:p w14:paraId="2480973E">
            <w:pPr>
              <w:kinsoku w:val="0"/>
              <w:autoSpaceDE w:val="0"/>
              <w:autoSpaceDN w:val="0"/>
              <w:adjustRightInd w:val="0"/>
              <w:snapToGrid w:val="0"/>
              <w:spacing w:before="52" w:line="211" w:lineRule="auto"/>
              <w:ind w:left="122"/>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snapToGrid w:val="0"/>
                <w:color w:val="000000"/>
                <w:kern w:val="0"/>
                <w:sz w:val="19"/>
                <w:szCs w:val="19"/>
                <w:lang w:val="en-US" w:eastAsia="zh-CN" w:bidi="ar-SA"/>
              </w:rPr>
              <w:t>可</w:t>
            </w:r>
            <w:r>
              <w:rPr>
                <w:rFonts w:hint="default" w:ascii="Times New Roman" w:hAnsi="Times New Roman" w:eastAsia="宋体" w:cs="Times New Roman"/>
                <w:snapToGrid w:val="0"/>
                <w:color w:val="000000"/>
                <w:kern w:val="0"/>
                <w:sz w:val="19"/>
                <w:szCs w:val="19"/>
                <w:lang w:val="en-US" w:eastAsia="en-US" w:bidi="ar-SA"/>
              </w:rPr>
              <w:t>配置数量上限按单位编制人数的15</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计算。</w:t>
            </w:r>
            <w:r>
              <w:rPr>
                <w:rFonts w:hint="default" w:ascii="Times New Roman" w:hAnsi="Times New Roman" w:eastAsia="宋体" w:cs="Times New Roman"/>
                <w:snapToGrid w:val="0"/>
                <w:color w:val="000000"/>
                <w:kern w:val="0"/>
                <w:sz w:val="19"/>
                <w:szCs w:val="19"/>
                <w:lang w:val="en-US" w:eastAsia="zh-CN" w:bidi="ar-SA"/>
              </w:rPr>
              <w:t>借用人员和其他方式用人单独核准。</w:t>
            </w:r>
          </w:p>
        </w:tc>
        <w:tc>
          <w:tcPr>
            <w:tcW w:w="431" w:type="pct"/>
            <w:noWrap w:val="0"/>
            <w:vAlign w:val="top"/>
          </w:tcPr>
          <w:p w14:paraId="5771FDF0">
            <w:pPr>
              <w:kinsoku w:val="0"/>
              <w:autoSpaceDE w:val="0"/>
              <w:autoSpaceDN w:val="0"/>
              <w:adjustRightInd w:val="0"/>
              <w:snapToGrid w:val="0"/>
              <w:spacing w:before="49" w:line="214"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79</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570A2C08">
            <w:pPr>
              <w:kinsoku w:val="0"/>
              <w:autoSpaceDE w:val="0"/>
              <w:autoSpaceDN w:val="0"/>
              <w:adjustRightInd w:val="0"/>
              <w:snapToGrid w:val="0"/>
              <w:spacing w:before="71" w:line="193"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12C0853C">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33AFD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49" w:type="pct"/>
            <w:vMerge w:val="continue"/>
            <w:tcBorders>
              <w:top w:val="nil"/>
              <w:bottom w:val="nil"/>
            </w:tcBorders>
            <w:noWrap w:val="0"/>
            <w:textDirection w:val="tbRlV"/>
            <w:vAlign w:val="top"/>
          </w:tcPr>
          <w:p w14:paraId="177BDA40">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noWrap w:val="0"/>
            <w:vAlign w:val="top"/>
          </w:tcPr>
          <w:p w14:paraId="2901AB3B">
            <w:pPr>
              <w:kinsoku w:val="0"/>
              <w:autoSpaceDE w:val="0"/>
              <w:autoSpaceDN w:val="0"/>
              <w:adjustRightInd w:val="0"/>
              <w:snapToGrid w:val="0"/>
              <w:spacing w:before="151" w:line="219" w:lineRule="auto"/>
              <w:ind w:firstLine="186"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彩色打印机</w:t>
            </w:r>
          </w:p>
        </w:tc>
        <w:tc>
          <w:tcPr>
            <w:tcW w:w="2578" w:type="pct"/>
            <w:noWrap w:val="0"/>
            <w:vAlign w:val="top"/>
          </w:tcPr>
          <w:p w14:paraId="0A22E5E6">
            <w:pPr>
              <w:kinsoku w:val="0"/>
              <w:autoSpaceDE w:val="0"/>
              <w:autoSpaceDN w:val="0"/>
              <w:adjustRightInd w:val="0"/>
              <w:snapToGrid w:val="0"/>
              <w:spacing w:before="51" w:line="203" w:lineRule="auto"/>
              <w:ind w:left="121" w:hanging="19"/>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5"/>
                <w:kern w:val="0"/>
                <w:sz w:val="19"/>
                <w:szCs w:val="19"/>
                <w:lang w:val="en-US" w:eastAsia="en-US" w:bidi="ar-SA"/>
              </w:rPr>
              <w:t>原则上不配备彩色打印机，确有需要的，在打印机</w:t>
            </w:r>
            <w:r>
              <w:rPr>
                <w:rFonts w:hint="default" w:ascii="Times New Roman" w:hAnsi="Times New Roman" w:eastAsia="宋体" w:cs="Times New Roman"/>
                <w:snapToGrid w:val="0"/>
                <w:color w:val="000000"/>
                <w:kern w:val="0"/>
                <w:sz w:val="19"/>
                <w:szCs w:val="19"/>
                <w:lang w:val="en-US" w:eastAsia="en-US" w:bidi="ar-SA"/>
              </w:rPr>
              <w:t>编制总额内合理配置。</w:t>
            </w:r>
            <w:r>
              <w:rPr>
                <w:rFonts w:hint="default" w:ascii="Times New Roman" w:hAnsi="Times New Roman" w:eastAsia="宋体" w:cs="Times New Roman"/>
                <w:snapToGrid w:val="0"/>
                <w:color w:val="000000"/>
                <w:kern w:val="0"/>
                <w:sz w:val="19"/>
                <w:szCs w:val="19"/>
                <w:lang w:val="en-US" w:eastAsia="zh-CN" w:bidi="ar-SA"/>
              </w:rPr>
              <w:t>借用人员和其他方式用人单独核准。</w:t>
            </w:r>
          </w:p>
        </w:tc>
        <w:tc>
          <w:tcPr>
            <w:tcW w:w="431" w:type="pct"/>
            <w:noWrap w:val="0"/>
            <w:vAlign w:val="top"/>
          </w:tcPr>
          <w:p w14:paraId="503903A5">
            <w:pPr>
              <w:kinsoku w:val="0"/>
              <w:autoSpaceDE w:val="0"/>
              <w:autoSpaceDN w:val="0"/>
              <w:adjustRightInd w:val="0"/>
              <w:snapToGrid w:val="0"/>
              <w:spacing w:before="150"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4</w:t>
            </w:r>
            <w:r>
              <w:rPr>
                <w:rFonts w:hint="default" w:ascii="Times New Roman" w:hAnsi="Times New Roman" w:eastAsia="宋体" w:cs="Times New Roman"/>
                <w:snapToGrid w:val="0"/>
                <w:color w:val="000000"/>
                <w:spacing w:val="-2"/>
                <w:kern w:val="0"/>
                <w:sz w:val="19"/>
                <w:szCs w:val="19"/>
                <w:lang w:val="en-US" w:eastAsia="zh-CN" w:bidi="ar-SA"/>
              </w:rPr>
              <w:t>4</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4B91F237">
            <w:pPr>
              <w:kinsoku w:val="0"/>
              <w:autoSpaceDE w:val="0"/>
              <w:autoSpaceDN w:val="0"/>
              <w:adjustRightInd w:val="0"/>
              <w:snapToGrid w:val="0"/>
              <w:spacing w:before="171" w:line="24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5E985285">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5850E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 w:type="pct"/>
            <w:vMerge w:val="continue"/>
            <w:tcBorders>
              <w:top w:val="nil"/>
              <w:bottom w:val="nil"/>
            </w:tcBorders>
            <w:noWrap w:val="0"/>
            <w:textDirection w:val="tbRlV"/>
            <w:vAlign w:val="top"/>
          </w:tcPr>
          <w:p w14:paraId="7BE0B48C">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noWrap w:val="0"/>
            <w:vAlign w:val="top"/>
          </w:tcPr>
          <w:p w14:paraId="10BD20D1">
            <w:pPr>
              <w:kinsoku w:val="0"/>
              <w:autoSpaceDE w:val="0"/>
              <w:autoSpaceDN w:val="0"/>
              <w:adjustRightInd w:val="0"/>
              <w:snapToGrid w:val="0"/>
              <w:spacing w:before="82" w:line="219" w:lineRule="auto"/>
              <w:ind w:firstLine="186"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票据打印机</w:t>
            </w:r>
          </w:p>
        </w:tc>
        <w:tc>
          <w:tcPr>
            <w:tcW w:w="2578" w:type="pct"/>
            <w:noWrap w:val="0"/>
            <w:vAlign w:val="top"/>
          </w:tcPr>
          <w:p w14:paraId="4C6D3E98">
            <w:pPr>
              <w:kinsoku w:val="0"/>
              <w:autoSpaceDE w:val="0"/>
              <w:autoSpaceDN w:val="0"/>
              <w:adjustRightInd w:val="0"/>
              <w:snapToGrid w:val="0"/>
              <w:spacing w:before="82"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根据机构职能和工作需要合理配置。</w:t>
            </w:r>
          </w:p>
        </w:tc>
        <w:tc>
          <w:tcPr>
            <w:tcW w:w="431" w:type="pct"/>
            <w:noWrap w:val="0"/>
            <w:vAlign w:val="top"/>
          </w:tcPr>
          <w:p w14:paraId="155BD8BA">
            <w:pPr>
              <w:kinsoku w:val="0"/>
              <w:autoSpaceDE w:val="0"/>
              <w:autoSpaceDN w:val="0"/>
              <w:adjustRightInd w:val="0"/>
              <w:snapToGrid w:val="0"/>
              <w:spacing w:before="81"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3000</w:t>
            </w:r>
          </w:p>
        </w:tc>
        <w:tc>
          <w:tcPr>
            <w:tcW w:w="550" w:type="pct"/>
            <w:noWrap w:val="0"/>
            <w:vAlign w:val="top"/>
          </w:tcPr>
          <w:p w14:paraId="09982D82">
            <w:pPr>
              <w:kinsoku w:val="0"/>
              <w:autoSpaceDE w:val="0"/>
              <w:autoSpaceDN w:val="0"/>
              <w:adjustRightInd w:val="0"/>
              <w:snapToGrid w:val="0"/>
              <w:spacing w:before="102" w:line="231"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7FC54683">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113EB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49" w:type="pct"/>
            <w:vMerge w:val="continue"/>
            <w:tcBorders>
              <w:top w:val="nil"/>
            </w:tcBorders>
            <w:noWrap w:val="0"/>
            <w:textDirection w:val="tbRlV"/>
            <w:vAlign w:val="top"/>
          </w:tcPr>
          <w:p w14:paraId="7F6BA909">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noWrap w:val="0"/>
            <w:vAlign w:val="center"/>
          </w:tcPr>
          <w:p w14:paraId="15E5955C">
            <w:pPr>
              <w:kinsoku w:val="0"/>
              <w:autoSpaceDE w:val="0"/>
              <w:autoSpaceDN w:val="0"/>
              <w:adjustRightInd w:val="0"/>
              <w:snapToGrid w:val="0"/>
              <w:spacing w:before="182" w:line="219" w:lineRule="auto"/>
              <w:jc w:val="center"/>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4"/>
                <w:kern w:val="0"/>
                <w:sz w:val="19"/>
                <w:szCs w:val="19"/>
                <w:lang w:val="en-US" w:eastAsia="en-US" w:bidi="ar-SA"/>
              </w:rPr>
              <w:t>一体机</w:t>
            </w:r>
          </w:p>
        </w:tc>
        <w:tc>
          <w:tcPr>
            <w:tcW w:w="2578" w:type="pct"/>
            <w:noWrap w:val="0"/>
            <w:vAlign w:val="top"/>
          </w:tcPr>
          <w:p w14:paraId="32B3EB74">
            <w:pPr>
              <w:kinsoku w:val="0"/>
              <w:autoSpaceDE w:val="0"/>
              <w:autoSpaceDN w:val="0"/>
              <w:adjustRightInd w:val="0"/>
              <w:snapToGrid w:val="0"/>
              <w:spacing w:before="73" w:line="226"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根据机构职能和工作需要，在打印机编制总额内</w:t>
            </w:r>
            <w:r>
              <w:rPr>
                <w:rFonts w:hint="default" w:ascii="Times New Roman" w:hAnsi="Times New Roman" w:eastAsia="宋体" w:cs="Times New Roman"/>
                <w:snapToGrid w:val="0"/>
                <w:color w:val="000000"/>
                <w:spacing w:val="-17"/>
                <w:kern w:val="0"/>
                <w:sz w:val="19"/>
                <w:szCs w:val="19"/>
                <w:lang w:val="en-US" w:eastAsia="en-US" w:bidi="ar-SA"/>
              </w:rPr>
              <w:t>合 理配置，同时减少扫描仪、传真机的配置数量。</w:t>
            </w:r>
          </w:p>
        </w:tc>
        <w:tc>
          <w:tcPr>
            <w:tcW w:w="431" w:type="pct"/>
            <w:noWrap w:val="0"/>
            <w:vAlign w:val="top"/>
          </w:tcPr>
          <w:p w14:paraId="31ABB943">
            <w:pPr>
              <w:kinsoku w:val="0"/>
              <w:autoSpaceDE w:val="0"/>
              <w:autoSpaceDN w:val="0"/>
              <w:adjustRightInd w:val="0"/>
              <w:snapToGrid w:val="0"/>
              <w:spacing w:before="181"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4</w:t>
            </w:r>
            <w:r>
              <w:rPr>
                <w:rFonts w:hint="default" w:ascii="Times New Roman" w:hAnsi="Times New Roman" w:eastAsia="宋体" w:cs="Times New Roman"/>
                <w:snapToGrid w:val="0"/>
                <w:color w:val="000000"/>
                <w:spacing w:val="-2"/>
                <w:kern w:val="0"/>
                <w:sz w:val="19"/>
                <w:szCs w:val="19"/>
                <w:lang w:val="en-US" w:eastAsia="zh-CN" w:bidi="ar-SA"/>
              </w:rPr>
              <w:t>35</w:t>
            </w:r>
            <w:r>
              <w:rPr>
                <w:rFonts w:hint="default" w:ascii="Times New Roman" w:hAnsi="Times New Roman" w:eastAsia="宋体" w:cs="Times New Roman"/>
                <w:snapToGrid w:val="0"/>
                <w:color w:val="000000"/>
                <w:spacing w:val="-2"/>
                <w:kern w:val="0"/>
                <w:sz w:val="19"/>
                <w:szCs w:val="19"/>
                <w:lang w:val="en-US" w:eastAsia="en-US" w:bidi="ar-SA"/>
              </w:rPr>
              <w:t>0</w:t>
            </w:r>
          </w:p>
        </w:tc>
        <w:tc>
          <w:tcPr>
            <w:tcW w:w="550" w:type="pct"/>
            <w:noWrap w:val="0"/>
            <w:vAlign w:val="top"/>
          </w:tcPr>
          <w:p w14:paraId="7C756880">
            <w:pPr>
              <w:kinsoku w:val="0"/>
              <w:autoSpaceDE w:val="0"/>
              <w:autoSpaceDN w:val="0"/>
              <w:adjustRightInd w:val="0"/>
              <w:snapToGrid w:val="0"/>
              <w:spacing w:before="202" w:line="24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0F5977E7">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3F18B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49" w:type="pct"/>
            <w:vMerge w:val="restart"/>
            <w:tcBorders>
              <w:bottom w:val="nil"/>
            </w:tcBorders>
            <w:noWrap w:val="0"/>
            <w:textDirection w:val="tbRlV"/>
            <w:vAlign w:val="top"/>
          </w:tcPr>
          <w:p w14:paraId="640C3DD4">
            <w:pPr>
              <w:kinsoku w:val="0"/>
              <w:autoSpaceDE w:val="0"/>
              <w:autoSpaceDN w:val="0"/>
              <w:adjustRightInd w:val="0"/>
              <w:snapToGrid w:val="0"/>
              <w:spacing w:before="157" w:line="201" w:lineRule="auto"/>
              <w:ind w:left="36"/>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复</w:t>
            </w:r>
            <w:r>
              <w:rPr>
                <w:rFonts w:hint="default" w:ascii="Times New Roman" w:hAnsi="Times New Roman" w:eastAsia="宋体" w:cs="Times New Roman"/>
                <w:snapToGrid w:val="0"/>
                <w:color w:val="000000"/>
                <w:spacing w:val="-14"/>
                <w:kern w:val="0"/>
                <w:sz w:val="19"/>
                <w:szCs w:val="19"/>
                <w:lang w:val="en-US" w:eastAsia="en-US" w:bidi="ar-SA"/>
              </w:rPr>
              <w:t xml:space="preserve"> </w:t>
            </w:r>
            <w:r>
              <w:rPr>
                <w:rFonts w:hint="default" w:ascii="Times New Roman" w:hAnsi="Times New Roman" w:eastAsia="宋体" w:cs="Times New Roman"/>
                <w:snapToGrid w:val="0"/>
                <w:color w:val="000000"/>
                <w:kern w:val="0"/>
                <w:sz w:val="19"/>
                <w:szCs w:val="19"/>
                <w:lang w:val="en-US" w:eastAsia="en-US" w:bidi="ar-SA"/>
              </w:rPr>
              <w:t>印</w:t>
            </w:r>
            <w:r>
              <w:rPr>
                <w:rFonts w:hint="default" w:ascii="Times New Roman" w:hAnsi="Times New Roman" w:eastAsia="宋体" w:cs="Times New Roman"/>
                <w:snapToGrid w:val="0"/>
                <w:color w:val="000000"/>
                <w:spacing w:val="-14"/>
                <w:kern w:val="0"/>
                <w:sz w:val="19"/>
                <w:szCs w:val="19"/>
                <w:lang w:val="en-US" w:eastAsia="en-US" w:bidi="ar-SA"/>
              </w:rPr>
              <w:t xml:space="preserve"> </w:t>
            </w:r>
            <w:r>
              <w:rPr>
                <w:rFonts w:hint="default" w:ascii="Times New Roman" w:hAnsi="Times New Roman" w:eastAsia="宋体" w:cs="Times New Roman"/>
                <w:snapToGrid w:val="0"/>
                <w:color w:val="000000"/>
                <w:kern w:val="0"/>
                <w:sz w:val="19"/>
                <w:szCs w:val="19"/>
                <w:lang w:val="en-US" w:eastAsia="en-US" w:bidi="ar-SA"/>
              </w:rPr>
              <w:t>机</w:t>
            </w:r>
          </w:p>
        </w:tc>
        <w:tc>
          <w:tcPr>
            <w:tcW w:w="660" w:type="pct"/>
            <w:noWrap w:val="0"/>
            <w:vAlign w:val="top"/>
          </w:tcPr>
          <w:p w14:paraId="74EBC8C3">
            <w:pPr>
              <w:kinsoku w:val="0"/>
              <w:autoSpaceDE w:val="0"/>
              <w:autoSpaceDN w:val="0"/>
              <w:adjustRightInd w:val="0"/>
              <w:snapToGrid w:val="0"/>
              <w:spacing w:before="113" w:line="219" w:lineRule="auto"/>
              <w:ind w:firstLine="186"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普速复印机</w:t>
            </w:r>
          </w:p>
        </w:tc>
        <w:tc>
          <w:tcPr>
            <w:tcW w:w="2578" w:type="pct"/>
            <w:noWrap w:val="0"/>
            <w:vAlign w:val="top"/>
          </w:tcPr>
          <w:p w14:paraId="5D15C42A">
            <w:pPr>
              <w:kinsoku w:val="0"/>
              <w:autoSpaceDE w:val="0"/>
              <w:autoSpaceDN w:val="0"/>
              <w:adjustRightInd w:val="0"/>
              <w:snapToGrid w:val="0"/>
              <w:spacing w:before="114"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配置数量上限按单位编制人数的5</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计算。</w:t>
            </w:r>
          </w:p>
        </w:tc>
        <w:tc>
          <w:tcPr>
            <w:tcW w:w="431" w:type="pct"/>
            <w:noWrap w:val="0"/>
            <w:vAlign w:val="top"/>
          </w:tcPr>
          <w:p w14:paraId="463C05B0">
            <w:pPr>
              <w:kinsoku w:val="0"/>
              <w:autoSpaceDE w:val="0"/>
              <w:autoSpaceDN w:val="0"/>
              <w:adjustRightInd w:val="0"/>
              <w:snapToGrid w:val="0"/>
              <w:spacing w:before="112" w:line="216" w:lineRule="auto"/>
              <w:ind w:left="23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3</w:t>
            </w:r>
            <w:r>
              <w:rPr>
                <w:rFonts w:hint="default" w:ascii="Times New Roman" w:hAnsi="Times New Roman" w:eastAsia="宋体" w:cs="Times New Roman"/>
                <w:snapToGrid w:val="0"/>
                <w:color w:val="000000"/>
                <w:spacing w:val="-2"/>
                <w:kern w:val="0"/>
                <w:sz w:val="19"/>
                <w:szCs w:val="19"/>
                <w:lang w:val="en-US" w:eastAsia="zh-CN" w:bidi="ar-SA"/>
              </w:rPr>
              <w:t>20</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vMerge w:val="restart"/>
            <w:tcBorders>
              <w:bottom w:val="nil"/>
            </w:tcBorders>
            <w:noWrap w:val="0"/>
            <w:vAlign w:val="top"/>
          </w:tcPr>
          <w:p w14:paraId="173575B2">
            <w:pPr>
              <w:kinsoku w:val="0"/>
              <w:autoSpaceDE w:val="0"/>
              <w:autoSpaceDN w:val="0"/>
              <w:adjustRightInd w:val="0"/>
              <w:snapToGrid w:val="0"/>
              <w:spacing w:before="95" w:line="235" w:lineRule="auto"/>
              <w:ind w:righ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3"/>
                <w:kern w:val="0"/>
                <w:sz w:val="19"/>
                <w:szCs w:val="19"/>
                <w:lang w:val="en-US" w:eastAsia="en-US" w:bidi="ar-SA"/>
              </w:rPr>
              <w:t>7年或复</w:t>
            </w:r>
            <w:r>
              <w:rPr>
                <w:rFonts w:hint="default" w:ascii="Times New Roman" w:hAnsi="Times New Roman" w:eastAsia="宋体" w:cs="Times New Roman"/>
                <w:snapToGrid w:val="0"/>
                <w:color w:val="000000"/>
                <w:spacing w:val="1"/>
                <w:kern w:val="0"/>
                <w:sz w:val="19"/>
                <w:szCs w:val="19"/>
                <w:lang w:val="en-US" w:eastAsia="en-US" w:bidi="ar-SA"/>
              </w:rPr>
              <w:t>印30万张</w:t>
            </w:r>
            <w:r>
              <w:rPr>
                <w:rFonts w:hint="default" w:ascii="Times New Roman" w:hAnsi="Times New Roman" w:eastAsia="宋体" w:cs="Times New Roman"/>
                <w:snapToGrid w:val="0"/>
                <w:color w:val="000000"/>
                <w:kern w:val="0"/>
                <w:sz w:val="19"/>
                <w:szCs w:val="19"/>
                <w:lang w:val="en-US" w:eastAsia="en-US" w:bidi="ar-SA"/>
              </w:rPr>
              <w:t>纸</w:t>
            </w:r>
          </w:p>
        </w:tc>
        <w:tc>
          <w:tcPr>
            <w:tcW w:w="429" w:type="pct"/>
            <w:vMerge w:val="continue"/>
            <w:tcBorders>
              <w:top w:val="nil"/>
              <w:bottom w:val="nil"/>
            </w:tcBorders>
            <w:noWrap w:val="0"/>
            <w:vAlign w:val="top"/>
          </w:tcPr>
          <w:p w14:paraId="56C99ABF">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3BD4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349" w:type="pct"/>
            <w:vMerge w:val="continue"/>
            <w:tcBorders>
              <w:top w:val="nil"/>
            </w:tcBorders>
            <w:noWrap w:val="0"/>
            <w:textDirection w:val="tbRlV"/>
            <w:vAlign w:val="top"/>
          </w:tcPr>
          <w:p w14:paraId="110423E7">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noWrap w:val="0"/>
            <w:vAlign w:val="top"/>
          </w:tcPr>
          <w:p w14:paraId="086D9AA3">
            <w:pPr>
              <w:kinsoku w:val="0"/>
              <w:autoSpaceDE w:val="0"/>
              <w:autoSpaceDN w:val="0"/>
              <w:adjustRightInd w:val="0"/>
              <w:snapToGrid w:val="0"/>
              <w:spacing w:before="113" w:line="219" w:lineRule="auto"/>
              <w:ind w:firstLine="192"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
                <w:kern w:val="0"/>
                <w:sz w:val="19"/>
                <w:szCs w:val="19"/>
                <w:lang w:val="en-US" w:eastAsia="en-US" w:bidi="ar-SA"/>
              </w:rPr>
              <w:t>高速复印机</w:t>
            </w:r>
          </w:p>
        </w:tc>
        <w:tc>
          <w:tcPr>
            <w:tcW w:w="2578" w:type="pct"/>
            <w:noWrap w:val="0"/>
            <w:vAlign w:val="top"/>
          </w:tcPr>
          <w:p w14:paraId="4D5D78BE">
            <w:pPr>
              <w:kinsoku w:val="0"/>
              <w:autoSpaceDE w:val="0"/>
              <w:autoSpaceDN w:val="0"/>
              <w:adjustRightInd w:val="0"/>
              <w:snapToGrid w:val="0"/>
              <w:spacing w:before="114" w:line="219" w:lineRule="auto"/>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编制人数50人以上</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含50人</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的单位可配置1</w:t>
            </w:r>
            <w:r>
              <w:rPr>
                <w:rFonts w:hint="default" w:ascii="Times New Roman" w:hAnsi="Times New Roman" w:eastAsia="宋体" w:cs="Times New Roman"/>
                <w:snapToGrid w:val="0"/>
                <w:color w:val="000000"/>
                <w:spacing w:val="-1"/>
                <w:kern w:val="0"/>
                <w:sz w:val="19"/>
                <w:szCs w:val="19"/>
                <w:lang w:val="en-US" w:eastAsia="en-US" w:bidi="ar-SA"/>
              </w:rPr>
              <w:t>台。</w:t>
            </w:r>
            <w:r>
              <w:rPr>
                <w:rFonts w:hint="default" w:ascii="Times New Roman" w:hAnsi="Times New Roman" w:eastAsia="宋体" w:cs="Times New Roman"/>
                <w:snapToGrid w:val="0"/>
                <w:color w:val="000000"/>
                <w:kern w:val="0"/>
                <w:sz w:val="19"/>
                <w:szCs w:val="19"/>
                <w:lang w:val="en-US" w:eastAsia="zh-CN" w:bidi="ar-SA"/>
              </w:rPr>
              <w:t>借用人员和其他方式用人单独核准。</w:t>
            </w:r>
          </w:p>
        </w:tc>
        <w:tc>
          <w:tcPr>
            <w:tcW w:w="431" w:type="pct"/>
            <w:noWrap w:val="0"/>
            <w:vAlign w:val="top"/>
          </w:tcPr>
          <w:p w14:paraId="02C2037F">
            <w:pPr>
              <w:kinsoku w:val="0"/>
              <w:autoSpaceDE w:val="0"/>
              <w:autoSpaceDN w:val="0"/>
              <w:adjustRightInd w:val="0"/>
              <w:snapToGrid w:val="0"/>
              <w:spacing w:before="112" w:line="216" w:lineRule="auto"/>
              <w:ind w:left="237"/>
              <w:jc w:val="both"/>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48</w:t>
            </w:r>
            <w:r>
              <w:rPr>
                <w:rFonts w:hint="default" w:ascii="Times New Roman" w:hAnsi="Times New Roman" w:eastAsia="宋体" w:cs="Times New Roman"/>
                <w:snapToGrid w:val="0"/>
                <w:color w:val="000000"/>
                <w:spacing w:val="-2"/>
                <w:kern w:val="0"/>
                <w:sz w:val="19"/>
                <w:szCs w:val="19"/>
                <w:lang w:val="en-US" w:eastAsia="en-US" w:bidi="ar-SA"/>
              </w:rPr>
              <w:t>000</w:t>
            </w:r>
          </w:p>
        </w:tc>
        <w:tc>
          <w:tcPr>
            <w:tcW w:w="550" w:type="pct"/>
            <w:vMerge w:val="continue"/>
            <w:tcBorders>
              <w:top w:val="nil"/>
            </w:tcBorders>
            <w:noWrap w:val="0"/>
            <w:vAlign w:val="top"/>
          </w:tcPr>
          <w:p w14:paraId="46843B57">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429" w:type="pct"/>
            <w:vMerge w:val="continue"/>
            <w:tcBorders>
              <w:top w:val="nil"/>
              <w:bottom w:val="nil"/>
            </w:tcBorders>
            <w:noWrap w:val="0"/>
            <w:vAlign w:val="top"/>
          </w:tcPr>
          <w:p w14:paraId="1AE66510">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11CA5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1010" w:type="pct"/>
            <w:gridSpan w:val="2"/>
            <w:noWrap w:val="0"/>
            <w:vAlign w:val="top"/>
          </w:tcPr>
          <w:p w14:paraId="4545A86D">
            <w:pPr>
              <w:kinsoku w:val="0"/>
              <w:autoSpaceDE w:val="0"/>
              <w:autoSpaceDN w:val="0"/>
              <w:adjustRightInd w:val="0"/>
              <w:snapToGrid w:val="0"/>
              <w:spacing w:before="123" w:line="219" w:lineRule="auto"/>
              <w:ind w:left="744"/>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碎纸机</w:t>
            </w:r>
          </w:p>
        </w:tc>
        <w:tc>
          <w:tcPr>
            <w:tcW w:w="2578" w:type="pct"/>
            <w:noWrap w:val="0"/>
            <w:vAlign w:val="top"/>
          </w:tcPr>
          <w:p w14:paraId="2BBB3814">
            <w:pPr>
              <w:kinsoku w:val="0"/>
              <w:autoSpaceDE w:val="0"/>
              <w:autoSpaceDN w:val="0"/>
              <w:adjustRightInd w:val="0"/>
              <w:snapToGrid w:val="0"/>
              <w:spacing w:before="124"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配置数量上限按单位编制人数的15</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计算。</w:t>
            </w:r>
            <w:r>
              <w:rPr>
                <w:rFonts w:hint="default" w:ascii="Times New Roman" w:hAnsi="Times New Roman" w:eastAsia="宋体" w:cs="Times New Roman"/>
                <w:snapToGrid w:val="0"/>
                <w:color w:val="000000"/>
                <w:kern w:val="0"/>
                <w:sz w:val="19"/>
                <w:szCs w:val="19"/>
                <w:lang w:val="en-US" w:eastAsia="zh-CN" w:bidi="ar-SA"/>
              </w:rPr>
              <w:t>借用人员和其他方式用人单独核准。</w:t>
            </w:r>
          </w:p>
        </w:tc>
        <w:tc>
          <w:tcPr>
            <w:tcW w:w="431" w:type="pct"/>
            <w:noWrap w:val="0"/>
            <w:vAlign w:val="top"/>
          </w:tcPr>
          <w:p w14:paraId="0196879F">
            <w:pPr>
              <w:kinsoku w:val="0"/>
              <w:autoSpaceDE w:val="0"/>
              <w:autoSpaceDN w:val="0"/>
              <w:adjustRightInd w:val="0"/>
              <w:snapToGrid w:val="0"/>
              <w:spacing w:before="122"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4"/>
                <w:kern w:val="0"/>
                <w:sz w:val="19"/>
                <w:szCs w:val="19"/>
                <w:lang w:val="en-US" w:eastAsia="en-US" w:bidi="ar-SA"/>
              </w:rPr>
              <w:t>1</w:t>
            </w:r>
            <w:r>
              <w:rPr>
                <w:rFonts w:hint="default" w:ascii="Times New Roman" w:hAnsi="Times New Roman" w:eastAsia="宋体" w:cs="Times New Roman"/>
                <w:snapToGrid w:val="0"/>
                <w:color w:val="000000"/>
                <w:spacing w:val="-4"/>
                <w:kern w:val="0"/>
                <w:sz w:val="19"/>
                <w:szCs w:val="19"/>
                <w:lang w:val="en-US" w:eastAsia="zh-CN" w:bidi="ar-SA"/>
              </w:rPr>
              <w:t>,</w:t>
            </w:r>
            <w:r>
              <w:rPr>
                <w:rFonts w:hint="default" w:ascii="Times New Roman" w:hAnsi="Times New Roman" w:eastAsia="宋体" w:cs="Times New Roman"/>
                <w:snapToGrid w:val="0"/>
                <w:color w:val="000000"/>
                <w:spacing w:val="-4"/>
                <w:kern w:val="0"/>
                <w:sz w:val="19"/>
                <w:szCs w:val="19"/>
                <w:lang w:val="en-US" w:eastAsia="en-US" w:bidi="ar-SA"/>
              </w:rPr>
              <w:t>000</w:t>
            </w:r>
          </w:p>
        </w:tc>
        <w:tc>
          <w:tcPr>
            <w:tcW w:w="550" w:type="pct"/>
            <w:noWrap w:val="0"/>
            <w:vAlign w:val="top"/>
          </w:tcPr>
          <w:p w14:paraId="3651C9AE">
            <w:pPr>
              <w:kinsoku w:val="0"/>
              <w:autoSpaceDE w:val="0"/>
              <w:autoSpaceDN w:val="0"/>
              <w:adjustRightInd w:val="0"/>
              <w:snapToGrid w:val="0"/>
              <w:spacing w:before="143" w:line="24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4B86CF2D">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7BDB6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010" w:type="pct"/>
            <w:gridSpan w:val="2"/>
            <w:noWrap w:val="0"/>
            <w:vAlign w:val="top"/>
          </w:tcPr>
          <w:p w14:paraId="05EE9ACD">
            <w:pPr>
              <w:kinsoku w:val="0"/>
              <w:autoSpaceDE w:val="0"/>
              <w:autoSpaceDN w:val="0"/>
              <w:adjustRightInd w:val="0"/>
              <w:snapToGrid w:val="0"/>
              <w:spacing w:before="103" w:line="219" w:lineRule="auto"/>
              <w:ind w:left="744"/>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传真机</w:t>
            </w:r>
          </w:p>
        </w:tc>
        <w:tc>
          <w:tcPr>
            <w:tcW w:w="2578" w:type="pct"/>
            <w:noWrap w:val="0"/>
            <w:vAlign w:val="top"/>
          </w:tcPr>
          <w:p w14:paraId="3DCF4B37">
            <w:pPr>
              <w:kinsoku w:val="0"/>
              <w:autoSpaceDE w:val="0"/>
              <w:autoSpaceDN w:val="0"/>
              <w:adjustRightInd w:val="0"/>
              <w:snapToGrid w:val="0"/>
              <w:spacing w:before="104"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配置数量上限按单位编制人数的15</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计算。</w:t>
            </w:r>
            <w:r>
              <w:rPr>
                <w:rFonts w:hint="default" w:ascii="Times New Roman" w:hAnsi="Times New Roman" w:eastAsia="宋体" w:cs="Times New Roman"/>
                <w:snapToGrid w:val="0"/>
                <w:color w:val="000000"/>
                <w:kern w:val="0"/>
                <w:sz w:val="19"/>
                <w:szCs w:val="19"/>
                <w:lang w:val="en-US" w:eastAsia="zh-CN" w:bidi="ar-SA"/>
              </w:rPr>
              <w:t>借用人员和其他方式用人单独核准。</w:t>
            </w:r>
          </w:p>
        </w:tc>
        <w:tc>
          <w:tcPr>
            <w:tcW w:w="431" w:type="pct"/>
            <w:noWrap w:val="0"/>
            <w:vAlign w:val="top"/>
          </w:tcPr>
          <w:p w14:paraId="0D5307B2">
            <w:pPr>
              <w:kinsoku w:val="0"/>
              <w:autoSpaceDE w:val="0"/>
              <w:autoSpaceDN w:val="0"/>
              <w:adjustRightInd w:val="0"/>
              <w:snapToGrid w:val="0"/>
              <w:spacing w:before="102"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2,8</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40F42B3D">
            <w:pPr>
              <w:kinsoku w:val="0"/>
              <w:autoSpaceDE w:val="0"/>
              <w:autoSpaceDN w:val="0"/>
              <w:adjustRightInd w:val="0"/>
              <w:snapToGrid w:val="0"/>
              <w:spacing w:before="123" w:line="24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731E987B">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64B40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10" w:type="pct"/>
            <w:gridSpan w:val="2"/>
            <w:noWrap w:val="0"/>
            <w:vAlign w:val="top"/>
          </w:tcPr>
          <w:p w14:paraId="5BABE833">
            <w:pPr>
              <w:kinsoku w:val="0"/>
              <w:autoSpaceDE w:val="0"/>
              <w:autoSpaceDN w:val="0"/>
              <w:adjustRightInd w:val="0"/>
              <w:snapToGrid w:val="0"/>
              <w:spacing w:before="45" w:line="199" w:lineRule="auto"/>
              <w:ind w:left="744"/>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3"/>
                <w:kern w:val="0"/>
                <w:sz w:val="19"/>
                <w:szCs w:val="19"/>
                <w:lang w:val="en-US" w:eastAsia="en-US" w:bidi="ar-SA"/>
              </w:rPr>
              <w:t>扫描仪</w:t>
            </w:r>
          </w:p>
        </w:tc>
        <w:tc>
          <w:tcPr>
            <w:tcW w:w="2578" w:type="pct"/>
            <w:noWrap w:val="0"/>
            <w:vAlign w:val="top"/>
          </w:tcPr>
          <w:p w14:paraId="2E880DB7">
            <w:pPr>
              <w:kinsoku w:val="0"/>
              <w:autoSpaceDE w:val="0"/>
              <w:autoSpaceDN w:val="0"/>
              <w:adjustRightInd w:val="0"/>
              <w:snapToGrid w:val="0"/>
              <w:spacing w:before="45" w:line="19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配置数量上限按单位编制人数的5</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计算。</w:t>
            </w:r>
            <w:r>
              <w:rPr>
                <w:rFonts w:hint="default" w:ascii="Times New Roman" w:hAnsi="Times New Roman" w:eastAsia="宋体" w:cs="Times New Roman"/>
                <w:snapToGrid w:val="0"/>
                <w:color w:val="000000"/>
                <w:kern w:val="0"/>
                <w:sz w:val="19"/>
                <w:szCs w:val="19"/>
                <w:lang w:val="en-US" w:eastAsia="zh-CN" w:bidi="ar-SA"/>
              </w:rPr>
              <w:t>借用人员和其他方式用人单独核准。</w:t>
            </w:r>
          </w:p>
        </w:tc>
        <w:tc>
          <w:tcPr>
            <w:tcW w:w="431" w:type="pct"/>
            <w:noWrap w:val="0"/>
            <w:vAlign w:val="top"/>
          </w:tcPr>
          <w:p w14:paraId="244F223B">
            <w:pPr>
              <w:kinsoku w:val="0"/>
              <w:autoSpaceDE w:val="0"/>
              <w:autoSpaceDN w:val="0"/>
              <w:adjustRightInd w:val="0"/>
              <w:snapToGrid w:val="0"/>
              <w:spacing w:before="43" w:line="201"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39</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119EBD41">
            <w:pPr>
              <w:kinsoku w:val="0"/>
              <w:autoSpaceDE w:val="0"/>
              <w:autoSpaceDN w:val="0"/>
              <w:adjustRightInd w:val="0"/>
              <w:snapToGrid w:val="0"/>
              <w:spacing w:before="64" w:line="18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5578C3E0">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20D78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0" w:type="pct"/>
            <w:gridSpan w:val="2"/>
            <w:noWrap w:val="0"/>
            <w:vAlign w:val="top"/>
          </w:tcPr>
          <w:p w14:paraId="53BE6D07">
            <w:pPr>
              <w:kinsoku w:val="0"/>
              <w:autoSpaceDE w:val="0"/>
              <w:autoSpaceDN w:val="0"/>
              <w:adjustRightInd w:val="0"/>
              <w:snapToGrid w:val="0"/>
              <w:spacing w:before="55" w:line="208" w:lineRule="auto"/>
              <w:ind w:left="744"/>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3"/>
                <w:kern w:val="0"/>
                <w:sz w:val="19"/>
                <w:szCs w:val="19"/>
                <w:lang w:val="en-US" w:eastAsia="en-US" w:bidi="ar-SA"/>
              </w:rPr>
              <w:t>投影仪</w:t>
            </w:r>
          </w:p>
        </w:tc>
        <w:tc>
          <w:tcPr>
            <w:tcW w:w="2578" w:type="pct"/>
            <w:noWrap w:val="0"/>
            <w:vAlign w:val="top"/>
          </w:tcPr>
          <w:p w14:paraId="79EB3B48">
            <w:pPr>
              <w:kinsoku w:val="0"/>
              <w:autoSpaceDE w:val="0"/>
              <w:autoSpaceDN w:val="0"/>
              <w:adjustRightInd w:val="0"/>
              <w:snapToGrid w:val="0"/>
              <w:spacing w:before="55" w:line="208"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配置数量上限按单位编制人数的5</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计算。</w:t>
            </w:r>
            <w:r>
              <w:rPr>
                <w:rFonts w:hint="default" w:ascii="Times New Roman" w:hAnsi="Times New Roman" w:eastAsia="宋体" w:cs="Times New Roman"/>
                <w:snapToGrid w:val="0"/>
                <w:color w:val="000000"/>
                <w:kern w:val="0"/>
                <w:sz w:val="19"/>
                <w:szCs w:val="19"/>
                <w:lang w:val="en-US" w:eastAsia="zh-CN" w:bidi="ar-SA"/>
              </w:rPr>
              <w:t>借用人员和其他方式用人单独核准。</w:t>
            </w:r>
          </w:p>
        </w:tc>
        <w:tc>
          <w:tcPr>
            <w:tcW w:w="431" w:type="pct"/>
            <w:noWrap w:val="0"/>
            <w:vAlign w:val="top"/>
          </w:tcPr>
          <w:p w14:paraId="603078D8">
            <w:pPr>
              <w:kinsoku w:val="0"/>
              <w:autoSpaceDE w:val="0"/>
              <w:autoSpaceDN w:val="0"/>
              <w:adjustRightInd w:val="0"/>
              <w:snapToGrid w:val="0"/>
              <w:spacing w:before="52" w:line="211"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55</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2376BE83">
            <w:pPr>
              <w:kinsoku w:val="0"/>
              <w:autoSpaceDE w:val="0"/>
              <w:autoSpaceDN w:val="0"/>
              <w:adjustRightInd w:val="0"/>
              <w:snapToGrid w:val="0"/>
              <w:spacing w:before="74" w:line="19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36141093">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78FA8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349" w:type="pct"/>
            <w:vMerge w:val="restart"/>
            <w:tcBorders>
              <w:bottom w:val="nil"/>
            </w:tcBorders>
            <w:noWrap w:val="0"/>
            <w:textDirection w:val="tbRlV"/>
            <w:vAlign w:val="top"/>
          </w:tcPr>
          <w:p w14:paraId="58F10E03">
            <w:pPr>
              <w:kinsoku w:val="0"/>
              <w:autoSpaceDE w:val="0"/>
              <w:autoSpaceDN w:val="0"/>
              <w:adjustRightInd w:val="0"/>
              <w:snapToGrid w:val="0"/>
              <w:spacing w:before="167" w:line="201" w:lineRule="auto"/>
              <w:ind w:left="54"/>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照</w:t>
            </w:r>
            <w:r>
              <w:rPr>
                <w:rFonts w:hint="default" w:ascii="Times New Roman" w:hAnsi="Times New Roman" w:eastAsia="宋体" w:cs="Times New Roman"/>
                <w:snapToGrid w:val="0"/>
                <w:color w:val="000000"/>
                <w:spacing w:val="-12"/>
                <w:kern w:val="0"/>
                <w:sz w:val="19"/>
                <w:szCs w:val="19"/>
                <w:lang w:val="en-US" w:eastAsia="en-US" w:bidi="ar-SA"/>
              </w:rPr>
              <w:t xml:space="preserve"> </w:t>
            </w:r>
            <w:r>
              <w:rPr>
                <w:rFonts w:hint="default" w:ascii="Times New Roman" w:hAnsi="Times New Roman" w:eastAsia="宋体" w:cs="Times New Roman"/>
                <w:snapToGrid w:val="0"/>
                <w:color w:val="000000"/>
                <w:kern w:val="0"/>
                <w:sz w:val="19"/>
                <w:szCs w:val="19"/>
                <w:lang w:val="en-US" w:eastAsia="en-US" w:bidi="ar-SA"/>
              </w:rPr>
              <w:t>相</w:t>
            </w:r>
            <w:r>
              <w:rPr>
                <w:rFonts w:hint="default" w:ascii="Times New Roman" w:hAnsi="Times New Roman" w:eastAsia="宋体" w:cs="Times New Roman"/>
                <w:snapToGrid w:val="0"/>
                <w:color w:val="000000"/>
                <w:spacing w:val="-12"/>
                <w:kern w:val="0"/>
                <w:sz w:val="19"/>
                <w:szCs w:val="19"/>
                <w:lang w:val="en-US" w:eastAsia="en-US" w:bidi="ar-SA"/>
              </w:rPr>
              <w:t xml:space="preserve"> </w:t>
            </w:r>
            <w:r>
              <w:rPr>
                <w:rFonts w:hint="default" w:ascii="Times New Roman" w:hAnsi="Times New Roman" w:eastAsia="宋体" w:cs="Times New Roman"/>
                <w:snapToGrid w:val="0"/>
                <w:color w:val="000000"/>
                <w:kern w:val="0"/>
                <w:sz w:val="19"/>
                <w:szCs w:val="19"/>
                <w:lang w:val="en-US" w:eastAsia="en-US" w:bidi="ar-SA"/>
              </w:rPr>
              <w:t>机</w:t>
            </w:r>
          </w:p>
        </w:tc>
        <w:tc>
          <w:tcPr>
            <w:tcW w:w="660" w:type="pct"/>
            <w:noWrap w:val="0"/>
            <w:vAlign w:val="top"/>
          </w:tcPr>
          <w:p w14:paraId="2709C30D">
            <w:pPr>
              <w:kinsoku w:val="0"/>
              <w:autoSpaceDE w:val="0"/>
              <w:autoSpaceDN w:val="0"/>
              <w:adjustRightInd w:val="0"/>
              <w:snapToGrid w:val="0"/>
              <w:spacing w:before="84" w:line="219" w:lineRule="auto"/>
              <w:ind w:left="319"/>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普通照相机</w:t>
            </w:r>
          </w:p>
        </w:tc>
        <w:tc>
          <w:tcPr>
            <w:tcW w:w="2578" w:type="pct"/>
            <w:noWrap w:val="0"/>
            <w:vAlign w:val="top"/>
          </w:tcPr>
          <w:p w14:paraId="3F15A90B">
            <w:pPr>
              <w:kinsoku w:val="0"/>
              <w:autoSpaceDE w:val="0"/>
              <w:autoSpaceDN w:val="0"/>
              <w:adjustRightInd w:val="0"/>
              <w:snapToGrid w:val="0"/>
              <w:spacing w:before="84"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根据机构职能和工作需要合理配置。</w:t>
            </w:r>
          </w:p>
        </w:tc>
        <w:tc>
          <w:tcPr>
            <w:tcW w:w="431" w:type="pct"/>
            <w:noWrap w:val="0"/>
            <w:vAlign w:val="top"/>
          </w:tcPr>
          <w:p w14:paraId="1C0DF33D">
            <w:pPr>
              <w:kinsoku w:val="0"/>
              <w:autoSpaceDE w:val="0"/>
              <w:autoSpaceDN w:val="0"/>
              <w:adjustRightInd w:val="0"/>
              <w:snapToGrid w:val="0"/>
              <w:spacing w:before="83"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4000</w:t>
            </w:r>
          </w:p>
        </w:tc>
        <w:tc>
          <w:tcPr>
            <w:tcW w:w="550" w:type="pct"/>
            <w:vMerge w:val="restart"/>
            <w:tcBorders>
              <w:bottom w:val="nil"/>
            </w:tcBorders>
            <w:noWrap w:val="0"/>
            <w:vAlign w:val="top"/>
          </w:tcPr>
          <w:p w14:paraId="60FDBD49">
            <w:pPr>
              <w:widowControl/>
              <w:kinsoku w:val="0"/>
              <w:autoSpaceDE w:val="0"/>
              <w:autoSpaceDN w:val="0"/>
              <w:adjustRightInd w:val="0"/>
              <w:snapToGrid w:val="0"/>
              <w:spacing w:line="290" w:lineRule="auto"/>
              <w:jc w:val="left"/>
              <w:textAlignment w:val="baseline"/>
              <w:rPr>
                <w:rFonts w:hint="default" w:ascii="Times New Roman" w:hAnsi="Times New Roman" w:eastAsia="Arial" w:cs="Times New Roman"/>
                <w:snapToGrid w:val="0"/>
                <w:color w:val="000000"/>
                <w:kern w:val="0"/>
                <w:sz w:val="21"/>
                <w:szCs w:val="21"/>
                <w:lang w:eastAsia="en-US"/>
              </w:rPr>
            </w:pPr>
          </w:p>
          <w:p w14:paraId="6793C7A9">
            <w:pPr>
              <w:kinsoku w:val="0"/>
              <w:autoSpaceDE w:val="0"/>
              <w:autoSpaceDN w:val="0"/>
              <w:adjustRightInd w:val="0"/>
              <w:snapToGrid w:val="0"/>
              <w:spacing w:before="62" w:line="240" w:lineRule="auto"/>
              <w:ind w:left="45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7</w:t>
            </w:r>
          </w:p>
        </w:tc>
        <w:tc>
          <w:tcPr>
            <w:tcW w:w="429" w:type="pct"/>
            <w:vMerge w:val="continue"/>
            <w:tcBorders>
              <w:top w:val="nil"/>
              <w:bottom w:val="nil"/>
            </w:tcBorders>
            <w:noWrap w:val="0"/>
            <w:vAlign w:val="top"/>
          </w:tcPr>
          <w:p w14:paraId="521B9A3C">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13239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349" w:type="pct"/>
            <w:vMerge w:val="continue"/>
            <w:tcBorders>
              <w:top w:val="nil"/>
            </w:tcBorders>
            <w:noWrap w:val="0"/>
            <w:textDirection w:val="tbRlV"/>
            <w:vAlign w:val="top"/>
          </w:tcPr>
          <w:p w14:paraId="6B75CA85">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noWrap w:val="0"/>
            <w:vAlign w:val="top"/>
          </w:tcPr>
          <w:p w14:paraId="7B45EC8C">
            <w:pPr>
              <w:kinsoku w:val="0"/>
              <w:autoSpaceDE w:val="0"/>
              <w:autoSpaceDN w:val="0"/>
              <w:adjustRightInd w:val="0"/>
              <w:snapToGrid w:val="0"/>
              <w:spacing w:before="44" w:line="219" w:lineRule="auto"/>
              <w:jc w:val="center"/>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单反照相机</w:t>
            </w:r>
            <w:r>
              <w:rPr>
                <w:rFonts w:hint="default" w:ascii="Times New Roman" w:hAnsi="Times New Roman" w:eastAsia="宋体" w:cs="Times New Roman"/>
                <w:snapToGrid w:val="0"/>
                <w:color w:val="000000"/>
                <w:spacing w:val="5"/>
                <w:kern w:val="0"/>
                <w:sz w:val="19"/>
                <w:szCs w:val="19"/>
                <w:lang w:val="en-US" w:eastAsia="zh-CN" w:bidi="ar-SA"/>
              </w:rPr>
              <w:t>（</w:t>
            </w:r>
            <w:r>
              <w:rPr>
                <w:rFonts w:hint="default" w:ascii="Times New Roman" w:hAnsi="Times New Roman" w:eastAsia="宋体" w:cs="Times New Roman"/>
                <w:snapToGrid w:val="0"/>
                <w:color w:val="000000"/>
                <w:spacing w:val="5"/>
                <w:kern w:val="0"/>
                <w:sz w:val="19"/>
                <w:szCs w:val="19"/>
                <w:lang w:val="en-US" w:eastAsia="en-US" w:bidi="ar-SA"/>
              </w:rPr>
              <w:t>含镜头等配件</w:t>
            </w:r>
            <w:r>
              <w:rPr>
                <w:rFonts w:hint="default" w:ascii="Times New Roman" w:hAnsi="Times New Roman" w:eastAsia="宋体" w:cs="Times New Roman"/>
                <w:snapToGrid w:val="0"/>
                <w:color w:val="000000"/>
                <w:spacing w:val="5"/>
                <w:kern w:val="0"/>
                <w:sz w:val="19"/>
                <w:szCs w:val="19"/>
                <w:lang w:val="en-US" w:eastAsia="zh-CN" w:bidi="ar-SA"/>
              </w:rPr>
              <w:t>）</w:t>
            </w:r>
          </w:p>
        </w:tc>
        <w:tc>
          <w:tcPr>
            <w:tcW w:w="2578" w:type="pct"/>
            <w:noWrap w:val="0"/>
            <w:vAlign w:val="top"/>
          </w:tcPr>
          <w:p w14:paraId="02FF6019">
            <w:pPr>
              <w:kinsoku w:val="0"/>
              <w:autoSpaceDE w:val="0"/>
              <w:autoSpaceDN w:val="0"/>
              <w:adjustRightInd w:val="0"/>
              <w:snapToGrid w:val="0"/>
              <w:spacing w:before="155"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确有需要每个单位可配置1台。</w:t>
            </w:r>
          </w:p>
        </w:tc>
        <w:tc>
          <w:tcPr>
            <w:tcW w:w="431" w:type="pct"/>
            <w:noWrap w:val="0"/>
            <w:vAlign w:val="top"/>
          </w:tcPr>
          <w:p w14:paraId="1CA85455">
            <w:pPr>
              <w:kinsoku w:val="0"/>
              <w:autoSpaceDE w:val="0"/>
              <w:autoSpaceDN w:val="0"/>
              <w:adjustRightInd w:val="0"/>
              <w:snapToGrid w:val="0"/>
              <w:spacing w:before="153" w:line="216" w:lineRule="auto"/>
              <w:ind w:left="23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3"/>
                <w:kern w:val="0"/>
                <w:sz w:val="19"/>
                <w:szCs w:val="19"/>
                <w:lang w:val="en-US" w:eastAsia="en-US" w:bidi="ar-SA"/>
              </w:rPr>
              <w:t>10000</w:t>
            </w:r>
          </w:p>
        </w:tc>
        <w:tc>
          <w:tcPr>
            <w:tcW w:w="550" w:type="pct"/>
            <w:vMerge w:val="continue"/>
            <w:tcBorders>
              <w:top w:val="nil"/>
            </w:tcBorders>
            <w:noWrap w:val="0"/>
            <w:vAlign w:val="top"/>
          </w:tcPr>
          <w:p w14:paraId="739A3D0C">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429" w:type="pct"/>
            <w:vMerge w:val="continue"/>
            <w:tcBorders>
              <w:top w:val="nil"/>
              <w:bottom w:val="nil"/>
            </w:tcBorders>
            <w:noWrap w:val="0"/>
            <w:vAlign w:val="top"/>
          </w:tcPr>
          <w:p w14:paraId="55200C51">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6913F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 w:type="pct"/>
            <w:vMerge w:val="restart"/>
            <w:tcBorders>
              <w:bottom w:val="nil"/>
            </w:tcBorders>
            <w:noWrap w:val="0"/>
            <w:textDirection w:val="tbRlV"/>
            <w:vAlign w:val="top"/>
          </w:tcPr>
          <w:p w14:paraId="0B437403">
            <w:pPr>
              <w:kinsoku w:val="0"/>
              <w:autoSpaceDE w:val="0"/>
              <w:autoSpaceDN w:val="0"/>
              <w:adjustRightInd w:val="0"/>
              <w:snapToGrid w:val="0"/>
              <w:spacing w:before="129" w:line="199" w:lineRule="auto"/>
              <w:ind w:left="89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空调</w:t>
            </w:r>
          </w:p>
        </w:tc>
        <w:tc>
          <w:tcPr>
            <w:tcW w:w="660" w:type="pct"/>
            <w:vMerge w:val="restart"/>
            <w:tcBorders>
              <w:bottom w:val="nil"/>
            </w:tcBorders>
            <w:noWrap w:val="0"/>
            <w:vAlign w:val="top"/>
          </w:tcPr>
          <w:p w14:paraId="2660ADA0">
            <w:pPr>
              <w:widowControl/>
              <w:kinsoku w:val="0"/>
              <w:autoSpaceDE w:val="0"/>
              <w:autoSpaceDN w:val="0"/>
              <w:adjustRightInd w:val="0"/>
              <w:snapToGrid w:val="0"/>
              <w:spacing w:line="313" w:lineRule="auto"/>
              <w:jc w:val="left"/>
              <w:textAlignment w:val="baseline"/>
              <w:rPr>
                <w:rFonts w:hint="default" w:ascii="Times New Roman" w:hAnsi="Times New Roman" w:eastAsia="Arial" w:cs="Times New Roman"/>
                <w:snapToGrid w:val="0"/>
                <w:color w:val="000000"/>
                <w:kern w:val="0"/>
                <w:sz w:val="21"/>
                <w:szCs w:val="21"/>
                <w:lang w:eastAsia="en-US"/>
              </w:rPr>
            </w:pPr>
          </w:p>
          <w:p w14:paraId="08D5EE15">
            <w:pPr>
              <w:widowControl/>
              <w:kinsoku w:val="0"/>
              <w:autoSpaceDE w:val="0"/>
              <w:autoSpaceDN w:val="0"/>
              <w:adjustRightInd w:val="0"/>
              <w:snapToGrid w:val="0"/>
              <w:spacing w:line="313" w:lineRule="auto"/>
              <w:jc w:val="left"/>
              <w:textAlignment w:val="baseline"/>
              <w:rPr>
                <w:rFonts w:hint="default" w:ascii="Times New Roman" w:hAnsi="Times New Roman" w:eastAsia="Arial" w:cs="Times New Roman"/>
                <w:snapToGrid w:val="0"/>
                <w:color w:val="000000"/>
                <w:kern w:val="0"/>
                <w:sz w:val="21"/>
                <w:szCs w:val="21"/>
                <w:lang w:eastAsia="en-US"/>
              </w:rPr>
            </w:pPr>
          </w:p>
          <w:p w14:paraId="6DEAC955">
            <w:pPr>
              <w:widowControl/>
              <w:kinsoku w:val="0"/>
              <w:autoSpaceDE w:val="0"/>
              <w:autoSpaceDN w:val="0"/>
              <w:adjustRightInd w:val="0"/>
              <w:snapToGrid w:val="0"/>
              <w:spacing w:line="313" w:lineRule="auto"/>
              <w:jc w:val="left"/>
              <w:textAlignment w:val="baseline"/>
              <w:rPr>
                <w:rFonts w:hint="default" w:ascii="Times New Roman" w:hAnsi="Times New Roman" w:eastAsia="Arial" w:cs="Times New Roman"/>
                <w:snapToGrid w:val="0"/>
                <w:color w:val="000000"/>
                <w:kern w:val="0"/>
                <w:sz w:val="21"/>
                <w:szCs w:val="21"/>
                <w:lang w:eastAsia="en-US"/>
              </w:rPr>
            </w:pPr>
          </w:p>
          <w:p w14:paraId="3786466D">
            <w:pPr>
              <w:kinsoku w:val="0"/>
              <w:autoSpaceDE w:val="0"/>
              <w:autoSpaceDN w:val="0"/>
              <w:adjustRightInd w:val="0"/>
              <w:snapToGrid w:val="0"/>
              <w:spacing w:before="62" w:line="220" w:lineRule="auto"/>
              <w:ind w:left="41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3"/>
                <w:kern w:val="0"/>
                <w:sz w:val="19"/>
                <w:szCs w:val="19"/>
                <w:lang w:val="en-US" w:eastAsia="en-US" w:bidi="ar-SA"/>
              </w:rPr>
              <w:t>分体空调</w:t>
            </w:r>
          </w:p>
        </w:tc>
        <w:tc>
          <w:tcPr>
            <w:tcW w:w="2578" w:type="pct"/>
            <w:noWrap w:val="0"/>
            <w:vAlign w:val="top"/>
          </w:tcPr>
          <w:p w14:paraId="6FDA2A5F">
            <w:pPr>
              <w:kinsoku w:val="0"/>
              <w:autoSpaceDE w:val="0"/>
              <w:autoSpaceDN w:val="0"/>
              <w:adjustRightInd w:val="0"/>
              <w:snapToGrid w:val="0"/>
              <w:spacing w:before="95"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
                <w:kern w:val="0"/>
                <w:sz w:val="19"/>
                <w:szCs w:val="19"/>
                <w:lang w:val="en-US" w:eastAsia="en-US" w:bidi="ar-SA"/>
              </w:rPr>
              <w:t>面积8至14平方米</w:t>
            </w:r>
            <w:r>
              <w:rPr>
                <w:rFonts w:hint="default" w:ascii="Times New Roman" w:hAnsi="Times New Roman" w:eastAsia="宋体" w:cs="Times New Roman"/>
                <w:snapToGrid w:val="0"/>
                <w:color w:val="000000"/>
                <w:spacing w:val="-1"/>
                <w:kern w:val="0"/>
                <w:sz w:val="19"/>
                <w:szCs w:val="19"/>
                <w:lang w:val="en-US" w:eastAsia="zh-CN" w:bidi="ar-SA"/>
              </w:rPr>
              <w:t>的</w:t>
            </w:r>
            <w:r>
              <w:rPr>
                <w:rFonts w:hint="default" w:ascii="Times New Roman" w:hAnsi="Times New Roman" w:eastAsia="宋体" w:cs="Times New Roman"/>
                <w:snapToGrid w:val="0"/>
                <w:color w:val="000000"/>
                <w:spacing w:val="-1"/>
                <w:kern w:val="0"/>
                <w:sz w:val="19"/>
                <w:szCs w:val="19"/>
                <w:lang w:val="en-US" w:eastAsia="en-US" w:bidi="ar-SA"/>
              </w:rPr>
              <w:t>房间</w:t>
            </w:r>
            <w:r>
              <w:rPr>
                <w:rFonts w:hint="default" w:ascii="Times New Roman" w:hAnsi="Times New Roman" w:eastAsia="宋体" w:cs="Times New Roman"/>
                <w:snapToGrid w:val="0"/>
                <w:color w:val="000000"/>
                <w:spacing w:val="-1"/>
                <w:kern w:val="0"/>
                <w:sz w:val="19"/>
                <w:szCs w:val="19"/>
                <w:lang w:val="en-US" w:eastAsia="zh-CN" w:bidi="ar-SA"/>
              </w:rPr>
              <w:t>或场所可配置</w:t>
            </w:r>
            <w:r>
              <w:rPr>
                <w:rFonts w:hint="default" w:ascii="Times New Roman" w:hAnsi="Times New Roman" w:eastAsia="宋体" w:cs="Times New Roman"/>
                <w:snapToGrid w:val="0"/>
                <w:color w:val="000000"/>
                <w:spacing w:val="-1"/>
                <w:kern w:val="0"/>
                <w:sz w:val="19"/>
                <w:szCs w:val="19"/>
                <w:lang w:val="en-US" w:eastAsia="en-US" w:bidi="ar-SA"/>
              </w:rPr>
              <w:t>1匹挂机1台。</w:t>
            </w:r>
          </w:p>
        </w:tc>
        <w:tc>
          <w:tcPr>
            <w:tcW w:w="431" w:type="pct"/>
            <w:noWrap w:val="0"/>
            <w:vAlign w:val="top"/>
          </w:tcPr>
          <w:p w14:paraId="1FBA8987">
            <w:pPr>
              <w:kinsoku w:val="0"/>
              <w:autoSpaceDE w:val="0"/>
              <w:autoSpaceDN w:val="0"/>
              <w:adjustRightInd w:val="0"/>
              <w:snapToGrid w:val="0"/>
              <w:spacing w:before="94"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2500</w:t>
            </w:r>
          </w:p>
        </w:tc>
        <w:tc>
          <w:tcPr>
            <w:tcW w:w="550" w:type="pct"/>
            <w:noWrap w:val="0"/>
            <w:vAlign w:val="top"/>
          </w:tcPr>
          <w:p w14:paraId="554F81AE">
            <w:pPr>
              <w:kinsoku w:val="0"/>
              <w:autoSpaceDE w:val="0"/>
              <w:autoSpaceDN w:val="0"/>
              <w:adjustRightInd w:val="0"/>
              <w:snapToGrid w:val="0"/>
              <w:spacing w:before="115" w:line="228" w:lineRule="auto"/>
              <w:ind w:left="41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10</w:t>
            </w:r>
          </w:p>
        </w:tc>
        <w:tc>
          <w:tcPr>
            <w:tcW w:w="429" w:type="pct"/>
            <w:vMerge w:val="continue"/>
            <w:tcBorders>
              <w:top w:val="nil"/>
              <w:bottom w:val="nil"/>
            </w:tcBorders>
            <w:noWrap w:val="0"/>
            <w:vAlign w:val="top"/>
          </w:tcPr>
          <w:p w14:paraId="55FC9813">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43AFA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349" w:type="pct"/>
            <w:vMerge w:val="continue"/>
            <w:tcBorders>
              <w:top w:val="nil"/>
              <w:bottom w:val="nil"/>
            </w:tcBorders>
            <w:noWrap w:val="0"/>
            <w:textDirection w:val="tbRlV"/>
            <w:vAlign w:val="top"/>
          </w:tcPr>
          <w:p w14:paraId="1E6E4644">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vMerge w:val="continue"/>
            <w:tcBorders>
              <w:top w:val="nil"/>
              <w:bottom w:val="nil"/>
            </w:tcBorders>
            <w:noWrap w:val="0"/>
            <w:vAlign w:val="top"/>
          </w:tcPr>
          <w:p w14:paraId="6647A955">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2578" w:type="pct"/>
            <w:noWrap w:val="0"/>
            <w:vAlign w:val="top"/>
          </w:tcPr>
          <w:p w14:paraId="784B20E1">
            <w:pPr>
              <w:kinsoku w:val="0"/>
              <w:autoSpaceDE w:val="0"/>
              <w:autoSpaceDN w:val="0"/>
              <w:adjustRightInd w:val="0"/>
              <w:snapToGrid w:val="0"/>
              <w:spacing w:before="85"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面积15至23平方米房间</w:t>
            </w:r>
            <w:r>
              <w:rPr>
                <w:rFonts w:hint="default" w:ascii="Times New Roman" w:hAnsi="Times New Roman" w:eastAsia="宋体" w:cs="Times New Roman"/>
                <w:snapToGrid w:val="0"/>
                <w:color w:val="000000"/>
                <w:spacing w:val="-1"/>
                <w:kern w:val="0"/>
                <w:sz w:val="19"/>
                <w:szCs w:val="19"/>
                <w:lang w:val="en-US" w:eastAsia="zh-CN" w:bidi="ar-SA"/>
              </w:rPr>
              <w:t>或场所可配置</w:t>
            </w:r>
            <w:r>
              <w:rPr>
                <w:rFonts w:hint="default" w:ascii="Times New Roman" w:hAnsi="Times New Roman" w:eastAsia="宋体" w:cs="Times New Roman"/>
                <w:snapToGrid w:val="0"/>
                <w:color w:val="000000"/>
                <w:kern w:val="0"/>
                <w:sz w:val="19"/>
                <w:szCs w:val="19"/>
                <w:lang w:val="en-US" w:eastAsia="en-US" w:bidi="ar-SA"/>
              </w:rPr>
              <w:t>1.5匹挂机1台。</w:t>
            </w:r>
          </w:p>
        </w:tc>
        <w:tc>
          <w:tcPr>
            <w:tcW w:w="431" w:type="pct"/>
            <w:noWrap w:val="0"/>
            <w:vAlign w:val="top"/>
          </w:tcPr>
          <w:p w14:paraId="5723C48A">
            <w:pPr>
              <w:kinsoku w:val="0"/>
              <w:autoSpaceDE w:val="0"/>
              <w:autoSpaceDN w:val="0"/>
              <w:adjustRightInd w:val="0"/>
              <w:snapToGrid w:val="0"/>
              <w:spacing w:before="84"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3000</w:t>
            </w:r>
          </w:p>
        </w:tc>
        <w:tc>
          <w:tcPr>
            <w:tcW w:w="550" w:type="pct"/>
            <w:noWrap w:val="0"/>
            <w:vAlign w:val="top"/>
          </w:tcPr>
          <w:p w14:paraId="17B99679">
            <w:pPr>
              <w:kinsoku w:val="0"/>
              <w:autoSpaceDE w:val="0"/>
              <w:autoSpaceDN w:val="0"/>
              <w:adjustRightInd w:val="0"/>
              <w:snapToGrid w:val="0"/>
              <w:spacing w:before="105" w:line="218" w:lineRule="auto"/>
              <w:ind w:left="41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10</w:t>
            </w:r>
          </w:p>
        </w:tc>
        <w:tc>
          <w:tcPr>
            <w:tcW w:w="429" w:type="pct"/>
            <w:vMerge w:val="continue"/>
            <w:tcBorders>
              <w:top w:val="nil"/>
              <w:bottom w:val="nil"/>
            </w:tcBorders>
            <w:noWrap w:val="0"/>
            <w:vAlign w:val="top"/>
          </w:tcPr>
          <w:p w14:paraId="28DE4682">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2E285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 w:type="pct"/>
            <w:vMerge w:val="continue"/>
            <w:tcBorders>
              <w:top w:val="nil"/>
              <w:bottom w:val="nil"/>
            </w:tcBorders>
            <w:noWrap w:val="0"/>
            <w:textDirection w:val="tbRlV"/>
            <w:vAlign w:val="top"/>
          </w:tcPr>
          <w:p w14:paraId="6C321902">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vMerge w:val="continue"/>
            <w:tcBorders>
              <w:top w:val="nil"/>
              <w:bottom w:val="nil"/>
            </w:tcBorders>
            <w:noWrap w:val="0"/>
            <w:vAlign w:val="top"/>
          </w:tcPr>
          <w:p w14:paraId="14B11FEE">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2578" w:type="pct"/>
            <w:noWrap w:val="0"/>
            <w:vAlign w:val="top"/>
          </w:tcPr>
          <w:p w14:paraId="4C389AFF">
            <w:pPr>
              <w:kinsoku w:val="0"/>
              <w:autoSpaceDE w:val="0"/>
              <w:autoSpaceDN w:val="0"/>
              <w:adjustRightInd w:val="0"/>
              <w:snapToGrid w:val="0"/>
              <w:spacing w:before="95"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面积24至34平方米房间</w:t>
            </w:r>
            <w:r>
              <w:rPr>
                <w:rFonts w:hint="default" w:ascii="Times New Roman" w:hAnsi="Times New Roman" w:eastAsia="宋体" w:cs="Times New Roman"/>
                <w:snapToGrid w:val="0"/>
                <w:color w:val="000000"/>
                <w:spacing w:val="-1"/>
                <w:kern w:val="0"/>
                <w:sz w:val="19"/>
                <w:szCs w:val="19"/>
                <w:lang w:val="en-US" w:eastAsia="zh-CN" w:bidi="ar-SA"/>
              </w:rPr>
              <w:t>或场所可配置</w:t>
            </w:r>
            <w:r>
              <w:rPr>
                <w:rFonts w:hint="default" w:ascii="Times New Roman" w:hAnsi="Times New Roman" w:eastAsia="宋体" w:cs="Times New Roman"/>
                <w:snapToGrid w:val="0"/>
                <w:color w:val="000000"/>
                <w:kern w:val="0"/>
                <w:sz w:val="19"/>
                <w:szCs w:val="19"/>
                <w:lang w:val="en-US" w:eastAsia="en-US" w:bidi="ar-SA"/>
              </w:rPr>
              <w:t>2匹机1台。</w:t>
            </w:r>
          </w:p>
        </w:tc>
        <w:tc>
          <w:tcPr>
            <w:tcW w:w="431" w:type="pct"/>
            <w:noWrap w:val="0"/>
            <w:vAlign w:val="top"/>
          </w:tcPr>
          <w:p w14:paraId="0DE928BA">
            <w:pPr>
              <w:kinsoku w:val="0"/>
              <w:autoSpaceDE w:val="0"/>
              <w:autoSpaceDN w:val="0"/>
              <w:adjustRightInd w:val="0"/>
              <w:snapToGrid w:val="0"/>
              <w:spacing w:before="94"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4</w:t>
            </w:r>
            <w:r>
              <w:rPr>
                <w:rFonts w:hint="default" w:ascii="Times New Roman" w:hAnsi="Times New Roman" w:eastAsia="宋体" w:cs="Times New Roman"/>
                <w:snapToGrid w:val="0"/>
                <w:color w:val="000000"/>
                <w:spacing w:val="-2"/>
                <w:kern w:val="0"/>
                <w:sz w:val="19"/>
                <w:szCs w:val="19"/>
                <w:lang w:val="en-US" w:eastAsia="zh-CN" w:bidi="ar-SA"/>
              </w:rPr>
              <w:t>4</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07A035B6">
            <w:pPr>
              <w:kinsoku w:val="0"/>
              <w:autoSpaceDE w:val="0"/>
              <w:autoSpaceDN w:val="0"/>
              <w:adjustRightInd w:val="0"/>
              <w:snapToGrid w:val="0"/>
              <w:spacing w:before="116" w:line="236" w:lineRule="auto"/>
              <w:ind w:left="41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10</w:t>
            </w:r>
          </w:p>
        </w:tc>
        <w:tc>
          <w:tcPr>
            <w:tcW w:w="429" w:type="pct"/>
            <w:vMerge w:val="continue"/>
            <w:tcBorders>
              <w:top w:val="nil"/>
              <w:bottom w:val="nil"/>
            </w:tcBorders>
            <w:noWrap w:val="0"/>
            <w:vAlign w:val="top"/>
          </w:tcPr>
          <w:p w14:paraId="19312027">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48EB0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 w:type="pct"/>
            <w:vMerge w:val="continue"/>
            <w:tcBorders>
              <w:top w:val="nil"/>
              <w:bottom w:val="nil"/>
            </w:tcBorders>
            <w:noWrap w:val="0"/>
            <w:textDirection w:val="tbRlV"/>
            <w:vAlign w:val="top"/>
          </w:tcPr>
          <w:p w14:paraId="7227897A">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vMerge w:val="continue"/>
            <w:tcBorders>
              <w:top w:val="nil"/>
              <w:bottom w:val="nil"/>
            </w:tcBorders>
            <w:noWrap w:val="0"/>
            <w:vAlign w:val="top"/>
          </w:tcPr>
          <w:p w14:paraId="1C3563C8">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2578" w:type="pct"/>
            <w:noWrap w:val="0"/>
            <w:vAlign w:val="top"/>
          </w:tcPr>
          <w:p w14:paraId="49301C1E">
            <w:pPr>
              <w:kinsoku w:val="0"/>
              <w:autoSpaceDE w:val="0"/>
              <w:autoSpaceDN w:val="0"/>
              <w:adjustRightInd w:val="0"/>
              <w:snapToGrid w:val="0"/>
              <w:spacing w:before="86"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面积35至42平方米房间</w:t>
            </w:r>
            <w:r>
              <w:rPr>
                <w:rFonts w:hint="default" w:ascii="Times New Roman" w:hAnsi="Times New Roman" w:eastAsia="宋体" w:cs="Times New Roman"/>
                <w:snapToGrid w:val="0"/>
                <w:color w:val="000000"/>
                <w:spacing w:val="-1"/>
                <w:kern w:val="0"/>
                <w:sz w:val="19"/>
                <w:szCs w:val="19"/>
                <w:lang w:val="en-US" w:eastAsia="zh-CN" w:bidi="ar-SA"/>
              </w:rPr>
              <w:t>或场所可配置</w:t>
            </w:r>
            <w:r>
              <w:rPr>
                <w:rFonts w:hint="default" w:ascii="Times New Roman" w:hAnsi="Times New Roman" w:eastAsia="宋体" w:cs="Times New Roman"/>
                <w:snapToGrid w:val="0"/>
                <w:color w:val="000000"/>
                <w:kern w:val="0"/>
                <w:sz w:val="19"/>
                <w:szCs w:val="19"/>
                <w:lang w:val="en-US" w:eastAsia="en-US" w:bidi="ar-SA"/>
              </w:rPr>
              <w:t>2.5匹机1台。</w:t>
            </w:r>
          </w:p>
        </w:tc>
        <w:tc>
          <w:tcPr>
            <w:tcW w:w="431" w:type="pct"/>
            <w:noWrap w:val="0"/>
            <w:vAlign w:val="top"/>
          </w:tcPr>
          <w:p w14:paraId="72CDF919">
            <w:pPr>
              <w:kinsoku w:val="0"/>
              <w:autoSpaceDE w:val="0"/>
              <w:autoSpaceDN w:val="0"/>
              <w:adjustRightInd w:val="0"/>
              <w:snapToGrid w:val="0"/>
              <w:spacing w:before="85"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66</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1C410395">
            <w:pPr>
              <w:kinsoku w:val="0"/>
              <w:autoSpaceDE w:val="0"/>
              <w:autoSpaceDN w:val="0"/>
              <w:adjustRightInd w:val="0"/>
              <w:snapToGrid w:val="0"/>
              <w:spacing w:before="106" w:line="227" w:lineRule="auto"/>
              <w:ind w:left="41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10</w:t>
            </w:r>
          </w:p>
        </w:tc>
        <w:tc>
          <w:tcPr>
            <w:tcW w:w="429" w:type="pct"/>
            <w:vMerge w:val="continue"/>
            <w:tcBorders>
              <w:top w:val="nil"/>
              <w:bottom w:val="nil"/>
            </w:tcBorders>
            <w:noWrap w:val="0"/>
            <w:vAlign w:val="top"/>
          </w:tcPr>
          <w:p w14:paraId="58F5996B">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3BBF4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 w:type="pct"/>
            <w:vMerge w:val="continue"/>
            <w:tcBorders>
              <w:top w:val="nil"/>
              <w:bottom w:val="nil"/>
            </w:tcBorders>
            <w:noWrap w:val="0"/>
            <w:textDirection w:val="tbRlV"/>
            <w:vAlign w:val="top"/>
          </w:tcPr>
          <w:p w14:paraId="537CE79C">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vMerge w:val="continue"/>
            <w:tcBorders>
              <w:top w:val="nil"/>
              <w:bottom w:val="nil"/>
            </w:tcBorders>
            <w:noWrap w:val="0"/>
            <w:vAlign w:val="top"/>
          </w:tcPr>
          <w:p w14:paraId="46259D15">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2578" w:type="pct"/>
            <w:noWrap w:val="0"/>
            <w:vAlign w:val="top"/>
          </w:tcPr>
          <w:p w14:paraId="7364551F">
            <w:pPr>
              <w:kinsoku w:val="0"/>
              <w:autoSpaceDE w:val="0"/>
              <w:autoSpaceDN w:val="0"/>
              <w:adjustRightInd w:val="0"/>
              <w:snapToGrid w:val="0"/>
              <w:spacing w:before="96" w:line="219" w:lineRule="auto"/>
              <w:ind w:left="12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面积43至50平方米房间</w:t>
            </w:r>
            <w:r>
              <w:rPr>
                <w:rFonts w:hint="default" w:ascii="Times New Roman" w:hAnsi="Times New Roman" w:eastAsia="宋体" w:cs="Times New Roman"/>
                <w:snapToGrid w:val="0"/>
                <w:color w:val="000000"/>
                <w:spacing w:val="-1"/>
                <w:kern w:val="0"/>
                <w:sz w:val="19"/>
                <w:szCs w:val="19"/>
                <w:lang w:val="en-US" w:eastAsia="zh-CN" w:bidi="ar-SA"/>
              </w:rPr>
              <w:t>或场所可配置</w:t>
            </w:r>
            <w:r>
              <w:rPr>
                <w:rFonts w:hint="default" w:ascii="Times New Roman" w:hAnsi="Times New Roman" w:eastAsia="宋体" w:cs="Times New Roman"/>
                <w:snapToGrid w:val="0"/>
                <w:color w:val="000000"/>
                <w:kern w:val="0"/>
                <w:sz w:val="19"/>
                <w:szCs w:val="19"/>
                <w:lang w:val="en-US" w:eastAsia="en-US" w:bidi="ar-SA"/>
              </w:rPr>
              <w:t>3匹机1台。</w:t>
            </w:r>
          </w:p>
        </w:tc>
        <w:tc>
          <w:tcPr>
            <w:tcW w:w="431" w:type="pct"/>
            <w:noWrap w:val="0"/>
            <w:vAlign w:val="top"/>
          </w:tcPr>
          <w:p w14:paraId="60BA5D9D">
            <w:pPr>
              <w:kinsoku w:val="0"/>
              <w:autoSpaceDE w:val="0"/>
              <w:autoSpaceDN w:val="0"/>
              <w:adjustRightInd w:val="0"/>
              <w:snapToGrid w:val="0"/>
              <w:spacing w:before="95" w:line="216" w:lineRule="auto"/>
              <w:ind w:left="27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8</w:t>
            </w:r>
            <w:r>
              <w:rPr>
                <w:rFonts w:hint="default" w:ascii="Times New Roman" w:hAnsi="Times New Roman" w:eastAsia="宋体" w:cs="Times New Roman"/>
                <w:snapToGrid w:val="0"/>
                <w:color w:val="000000"/>
                <w:spacing w:val="-2"/>
                <w:kern w:val="0"/>
                <w:sz w:val="19"/>
                <w:szCs w:val="19"/>
                <w:lang w:val="en-US" w:eastAsia="zh-CN" w:bidi="ar-SA"/>
              </w:rPr>
              <w:t>3</w:t>
            </w:r>
            <w:r>
              <w:rPr>
                <w:rFonts w:hint="default" w:ascii="Times New Roman" w:hAnsi="Times New Roman" w:eastAsia="宋体" w:cs="Times New Roman"/>
                <w:snapToGrid w:val="0"/>
                <w:color w:val="000000"/>
                <w:spacing w:val="-2"/>
                <w:kern w:val="0"/>
                <w:sz w:val="19"/>
                <w:szCs w:val="19"/>
                <w:lang w:val="en-US" w:eastAsia="en-US" w:bidi="ar-SA"/>
              </w:rPr>
              <w:t>00</w:t>
            </w:r>
          </w:p>
        </w:tc>
        <w:tc>
          <w:tcPr>
            <w:tcW w:w="550" w:type="pct"/>
            <w:noWrap w:val="0"/>
            <w:vAlign w:val="top"/>
          </w:tcPr>
          <w:p w14:paraId="66411BD4">
            <w:pPr>
              <w:kinsoku w:val="0"/>
              <w:autoSpaceDE w:val="0"/>
              <w:autoSpaceDN w:val="0"/>
              <w:adjustRightInd w:val="0"/>
              <w:snapToGrid w:val="0"/>
              <w:spacing w:before="117" w:line="236" w:lineRule="auto"/>
              <w:ind w:left="41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10</w:t>
            </w:r>
          </w:p>
        </w:tc>
        <w:tc>
          <w:tcPr>
            <w:tcW w:w="429" w:type="pct"/>
            <w:vMerge w:val="continue"/>
            <w:tcBorders>
              <w:top w:val="nil"/>
              <w:bottom w:val="nil"/>
            </w:tcBorders>
            <w:noWrap w:val="0"/>
            <w:vAlign w:val="top"/>
          </w:tcPr>
          <w:p w14:paraId="0AA56D50">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6851E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349" w:type="pct"/>
            <w:vMerge w:val="continue"/>
            <w:tcBorders>
              <w:top w:val="nil"/>
            </w:tcBorders>
            <w:noWrap w:val="0"/>
            <w:textDirection w:val="tbRlV"/>
            <w:vAlign w:val="top"/>
          </w:tcPr>
          <w:p w14:paraId="032EAA8D">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60" w:type="pct"/>
            <w:vMerge w:val="continue"/>
            <w:tcBorders>
              <w:top w:val="nil"/>
            </w:tcBorders>
            <w:noWrap w:val="0"/>
            <w:vAlign w:val="top"/>
          </w:tcPr>
          <w:p w14:paraId="63AB26F1">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2578" w:type="pct"/>
            <w:noWrap w:val="0"/>
            <w:vAlign w:val="top"/>
          </w:tcPr>
          <w:p w14:paraId="614FB471">
            <w:pPr>
              <w:keepNext w:val="0"/>
              <w:keepLines w:val="0"/>
              <w:pageBreakBefore w:val="0"/>
              <w:widowControl/>
              <w:kinsoku w:val="0"/>
              <w:wordWrap/>
              <w:overflowPunct/>
              <w:topLinePunct w:val="0"/>
              <w:autoSpaceDE w:val="0"/>
              <w:autoSpaceDN w:val="0"/>
              <w:bidi w:val="0"/>
              <w:adjustRightInd w:val="0"/>
              <w:snapToGrid w:val="0"/>
              <w:spacing w:before="86" w:line="219" w:lineRule="auto"/>
              <w:ind w:left="113"/>
              <w:jc w:val="both"/>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1"/>
                <w:kern w:val="0"/>
                <w:sz w:val="19"/>
                <w:szCs w:val="19"/>
                <w:lang w:val="en-US" w:eastAsia="en-US" w:bidi="ar-SA"/>
              </w:rPr>
              <w:t>面积超过50平方米房间</w:t>
            </w:r>
            <w:r>
              <w:rPr>
                <w:rFonts w:hint="default" w:ascii="Times New Roman" w:hAnsi="Times New Roman" w:eastAsia="宋体" w:cs="Times New Roman"/>
                <w:snapToGrid w:val="0"/>
                <w:color w:val="000000"/>
                <w:spacing w:val="-1"/>
                <w:kern w:val="0"/>
                <w:sz w:val="19"/>
                <w:szCs w:val="19"/>
                <w:lang w:val="en-US" w:eastAsia="zh-CN" w:bidi="ar-SA"/>
              </w:rPr>
              <w:t>或场所</w:t>
            </w:r>
            <w:r>
              <w:rPr>
                <w:rFonts w:hint="default" w:ascii="Times New Roman" w:hAnsi="Times New Roman" w:eastAsia="宋体" w:cs="Times New Roman"/>
                <w:snapToGrid w:val="0"/>
                <w:color w:val="000000"/>
                <w:spacing w:val="-11"/>
                <w:kern w:val="0"/>
                <w:sz w:val="19"/>
                <w:szCs w:val="19"/>
                <w:lang w:val="en-US" w:eastAsia="en-US" w:bidi="ar-SA"/>
              </w:rPr>
              <w:t>按实际情况综合考虑。</w:t>
            </w:r>
          </w:p>
        </w:tc>
        <w:tc>
          <w:tcPr>
            <w:tcW w:w="431" w:type="pct"/>
            <w:noWrap w:val="0"/>
            <w:vAlign w:val="top"/>
          </w:tcPr>
          <w:p w14:paraId="07B5F087">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550" w:type="pct"/>
            <w:noWrap w:val="0"/>
            <w:vAlign w:val="top"/>
          </w:tcPr>
          <w:p w14:paraId="45C6FE5F">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429" w:type="pct"/>
            <w:vMerge w:val="continue"/>
            <w:tcBorders>
              <w:top w:val="nil"/>
            </w:tcBorders>
            <w:noWrap w:val="0"/>
            <w:vAlign w:val="top"/>
          </w:tcPr>
          <w:p w14:paraId="6EFBB9D4">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bl>
    <w:tbl>
      <w:tblPr>
        <w:tblStyle w:val="10"/>
        <w:tblW w:w="534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5"/>
        <w:gridCol w:w="1142"/>
        <w:gridCol w:w="2342"/>
        <w:gridCol w:w="1950"/>
        <w:gridCol w:w="1184"/>
        <w:gridCol w:w="1254"/>
      </w:tblGrid>
      <w:tr w14:paraId="58AE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449" w:type="pct"/>
            <w:gridSpan w:val="2"/>
            <w:noWrap w:val="0"/>
            <w:vAlign w:val="top"/>
          </w:tcPr>
          <w:p w14:paraId="2A5B6A56">
            <w:pPr>
              <w:widowControl/>
              <w:kinsoku w:val="0"/>
              <w:autoSpaceDE w:val="0"/>
              <w:autoSpaceDN w:val="0"/>
              <w:adjustRightInd w:val="0"/>
              <w:snapToGrid w:val="0"/>
              <w:spacing w:line="242" w:lineRule="auto"/>
              <w:jc w:val="left"/>
              <w:textAlignment w:val="baseline"/>
              <w:rPr>
                <w:rFonts w:hint="default" w:ascii="Times New Roman" w:hAnsi="Times New Roman" w:eastAsia="Arial" w:cs="Times New Roman"/>
                <w:snapToGrid w:val="0"/>
                <w:color w:val="000000"/>
                <w:kern w:val="0"/>
                <w:sz w:val="21"/>
                <w:szCs w:val="21"/>
                <w:lang w:eastAsia="en-US"/>
              </w:rPr>
            </w:pPr>
          </w:p>
          <w:p w14:paraId="2EB07FAA">
            <w:pPr>
              <w:kinsoku w:val="0"/>
              <w:autoSpaceDE w:val="0"/>
              <w:autoSpaceDN w:val="0"/>
              <w:adjustRightInd w:val="0"/>
              <w:snapToGrid w:val="0"/>
              <w:spacing w:before="62" w:line="219" w:lineRule="auto"/>
              <w:ind w:left="947"/>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b/>
                <w:bCs/>
                <w:snapToGrid w:val="0"/>
                <w:color w:val="000000"/>
                <w:spacing w:val="5"/>
                <w:kern w:val="0"/>
                <w:sz w:val="19"/>
                <w:szCs w:val="19"/>
                <w:lang w:val="en-US" w:eastAsia="en-US" w:bidi="ar-SA"/>
              </w:rPr>
              <w:t>资产品目</w:t>
            </w:r>
          </w:p>
        </w:tc>
        <w:tc>
          <w:tcPr>
            <w:tcW w:w="1235" w:type="pct"/>
            <w:noWrap w:val="0"/>
            <w:vAlign w:val="top"/>
          </w:tcPr>
          <w:p w14:paraId="6311E810">
            <w:pPr>
              <w:kinsoku w:val="0"/>
              <w:autoSpaceDE w:val="0"/>
              <w:autoSpaceDN w:val="0"/>
              <w:adjustRightInd w:val="0"/>
              <w:snapToGrid w:val="0"/>
              <w:spacing w:before="62" w:line="219" w:lineRule="auto"/>
              <w:ind w:left="75"/>
              <w:jc w:val="left"/>
              <w:textAlignment w:val="baseline"/>
              <w:rPr>
                <w:rFonts w:hint="default" w:ascii="Times New Roman" w:hAnsi="Times New Roman" w:eastAsia="宋体" w:cs="Times New Roman"/>
                <w:b/>
                <w:bCs/>
                <w:snapToGrid w:val="0"/>
                <w:color w:val="000000"/>
                <w:spacing w:val="1"/>
                <w:kern w:val="0"/>
                <w:sz w:val="19"/>
                <w:szCs w:val="19"/>
                <w:lang w:val="en-US" w:eastAsia="en-US" w:bidi="ar-SA"/>
              </w:rPr>
            </w:pPr>
          </w:p>
          <w:p w14:paraId="594FDBCE">
            <w:pPr>
              <w:kinsoku w:val="0"/>
              <w:autoSpaceDE w:val="0"/>
              <w:autoSpaceDN w:val="0"/>
              <w:adjustRightInd w:val="0"/>
              <w:snapToGrid w:val="0"/>
              <w:spacing w:before="62" w:line="219" w:lineRule="auto"/>
              <w:ind w:left="75"/>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b/>
                <w:bCs/>
                <w:snapToGrid w:val="0"/>
                <w:color w:val="000000"/>
                <w:spacing w:val="1"/>
                <w:kern w:val="0"/>
                <w:sz w:val="19"/>
                <w:szCs w:val="19"/>
                <w:lang w:val="en-US" w:eastAsia="en-US" w:bidi="ar-SA"/>
              </w:rPr>
              <w:t>数量上限</w:t>
            </w:r>
            <w:r>
              <w:rPr>
                <w:rFonts w:hint="default" w:ascii="Times New Roman" w:hAnsi="Times New Roman" w:eastAsia="宋体" w:cs="Times New Roman"/>
                <w:b/>
                <w:bCs/>
                <w:snapToGrid w:val="0"/>
                <w:color w:val="000000"/>
                <w:spacing w:val="1"/>
                <w:kern w:val="0"/>
                <w:sz w:val="19"/>
                <w:szCs w:val="19"/>
                <w:lang w:val="en-US" w:eastAsia="zh-CN" w:bidi="ar-SA"/>
              </w:rPr>
              <w:t>（</w:t>
            </w:r>
            <w:r>
              <w:rPr>
                <w:rFonts w:hint="default" w:ascii="Times New Roman" w:hAnsi="Times New Roman" w:eastAsia="宋体" w:cs="Times New Roman"/>
                <w:b/>
                <w:bCs/>
                <w:snapToGrid w:val="0"/>
                <w:color w:val="000000"/>
                <w:spacing w:val="1"/>
                <w:kern w:val="0"/>
                <w:sz w:val="19"/>
                <w:szCs w:val="19"/>
                <w:lang w:val="en-US" w:eastAsia="en-US" w:bidi="ar-SA"/>
              </w:rPr>
              <w:t>套、件、组</w:t>
            </w:r>
            <w:r>
              <w:rPr>
                <w:rFonts w:hint="default" w:ascii="Times New Roman" w:hAnsi="Times New Roman" w:eastAsia="宋体" w:cs="Times New Roman"/>
                <w:b/>
                <w:bCs/>
                <w:snapToGrid w:val="0"/>
                <w:color w:val="000000"/>
                <w:spacing w:val="1"/>
                <w:kern w:val="0"/>
                <w:sz w:val="19"/>
                <w:szCs w:val="19"/>
                <w:lang w:val="en-US" w:eastAsia="zh-CN" w:bidi="ar-SA"/>
              </w:rPr>
              <w:t>）</w:t>
            </w:r>
          </w:p>
        </w:tc>
        <w:tc>
          <w:tcPr>
            <w:tcW w:w="1028" w:type="pct"/>
            <w:noWrap w:val="0"/>
            <w:vAlign w:val="top"/>
          </w:tcPr>
          <w:p w14:paraId="684044EE">
            <w:pPr>
              <w:kinsoku w:val="0"/>
              <w:autoSpaceDE w:val="0"/>
              <w:autoSpaceDN w:val="0"/>
              <w:adjustRightInd w:val="0"/>
              <w:snapToGrid w:val="0"/>
              <w:spacing w:before="62" w:line="218" w:lineRule="auto"/>
              <w:ind w:left="528"/>
              <w:jc w:val="left"/>
              <w:textAlignment w:val="baseline"/>
              <w:rPr>
                <w:rFonts w:hint="default" w:ascii="Times New Roman" w:hAnsi="Times New Roman" w:eastAsia="宋体" w:cs="Times New Roman"/>
                <w:b/>
                <w:bCs/>
                <w:snapToGrid w:val="0"/>
                <w:color w:val="000000"/>
                <w:spacing w:val="3"/>
                <w:kern w:val="0"/>
                <w:sz w:val="19"/>
                <w:szCs w:val="19"/>
                <w:lang w:val="en-US" w:eastAsia="en-US" w:bidi="ar-SA"/>
              </w:rPr>
            </w:pPr>
          </w:p>
          <w:p w14:paraId="3928ADD0">
            <w:pPr>
              <w:kinsoku w:val="0"/>
              <w:autoSpaceDE w:val="0"/>
              <w:autoSpaceDN w:val="0"/>
              <w:adjustRightInd w:val="0"/>
              <w:snapToGrid w:val="0"/>
              <w:spacing w:before="62" w:line="218" w:lineRule="auto"/>
              <w:ind w:firstLine="393" w:firstLineChars="200"/>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b/>
                <w:bCs/>
                <w:snapToGrid w:val="0"/>
                <w:color w:val="000000"/>
                <w:spacing w:val="3"/>
                <w:kern w:val="0"/>
                <w:sz w:val="19"/>
                <w:szCs w:val="19"/>
                <w:lang w:val="en-US" w:eastAsia="en-US" w:bidi="ar-SA"/>
              </w:rPr>
              <w:t>价格上限</w:t>
            </w:r>
            <w:r>
              <w:rPr>
                <w:rFonts w:hint="default" w:ascii="Times New Roman" w:hAnsi="Times New Roman" w:eastAsia="宋体" w:cs="Times New Roman"/>
                <w:b/>
                <w:bCs/>
                <w:snapToGrid w:val="0"/>
                <w:color w:val="000000"/>
                <w:spacing w:val="3"/>
                <w:kern w:val="0"/>
                <w:sz w:val="19"/>
                <w:szCs w:val="19"/>
                <w:lang w:val="en-US" w:eastAsia="zh-CN" w:bidi="ar-SA"/>
              </w:rPr>
              <w:t>（</w:t>
            </w:r>
            <w:r>
              <w:rPr>
                <w:rFonts w:hint="default" w:ascii="Times New Roman" w:hAnsi="Times New Roman" w:eastAsia="宋体" w:cs="Times New Roman"/>
                <w:b/>
                <w:bCs/>
                <w:snapToGrid w:val="0"/>
                <w:color w:val="000000"/>
                <w:spacing w:val="3"/>
                <w:kern w:val="0"/>
                <w:sz w:val="19"/>
                <w:szCs w:val="19"/>
                <w:lang w:val="en-US" w:eastAsia="en-US" w:bidi="ar-SA"/>
              </w:rPr>
              <w:t>元</w:t>
            </w:r>
            <w:r>
              <w:rPr>
                <w:rFonts w:hint="default" w:ascii="Times New Roman" w:hAnsi="Times New Roman" w:eastAsia="宋体" w:cs="Times New Roman"/>
                <w:b/>
                <w:bCs/>
                <w:snapToGrid w:val="0"/>
                <w:color w:val="000000"/>
                <w:spacing w:val="3"/>
                <w:kern w:val="0"/>
                <w:sz w:val="19"/>
                <w:szCs w:val="19"/>
                <w:lang w:val="en-US" w:eastAsia="zh-CN" w:bidi="ar-SA"/>
              </w:rPr>
              <w:t>）</w:t>
            </w:r>
          </w:p>
        </w:tc>
        <w:tc>
          <w:tcPr>
            <w:tcW w:w="624" w:type="pct"/>
            <w:noWrap w:val="0"/>
            <w:vAlign w:val="top"/>
          </w:tcPr>
          <w:p w14:paraId="26B56AC8">
            <w:pPr>
              <w:kinsoku w:val="0"/>
              <w:autoSpaceDE w:val="0"/>
              <w:autoSpaceDN w:val="0"/>
              <w:adjustRightInd w:val="0"/>
              <w:snapToGrid w:val="0"/>
              <w:spacing w:before="279" w:line="323" w:lineRule="auto"/>
              <w:ind w:left="140" w:right="47" w:hanging="90"/>
              <w:jc w:val="left"/>
              <w:textAlignment w:val="baseline"/>
              <w:rPr>
                <w:rFonts w:hint="default" w:ascii="Times New Roman" w:hAnsi="Times New Roman" w:eastAsia="宋体" w:cs="Times New Roman"/>
                <w:snapToGrid w:val="0"/>
                <w:color w:val="000000"/>
                <w:kern w:val="0"/>
                <w:sz w:val="19"/>
                <w:szCs w:val="19"/>
                <w:lang w:val="en-US" w:eastAsia="zh-CN" w:bidi="ar-SA"/>
              </w:rPr>
            </w:pPr>
            <w:r>
              <w:rPr>
                <w:rFonts w:hint="default" w:ascii="Times New Roman" w:hAnsi="Times New Roman" w:eastAsia="宋体" w:cs="Times New Roman"/>
                <w:b/>
                <w:bCs/>
                <w:snapToGrid w:val="0"/>
                <w:color w:val="000000"/>
                <w:spacing w:val="-4"/>
                <w:kern w:val="0"/>
                <w:sz w:val="19"/>
                <w:szCs w:val="19"/>
                <w:lang w:val="en-US" w:eastAsia="en-US" w:bidi="ar-SA"/>
              </w:rPr>
              <w:t>最低使用年</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b/>
                <w:bCs/>
                <w:snapToGrid w:val="0"/>
                <w:color w:val="000000"/>
                <w:spacing w:val="-20"/>
                <w:kern w:val="0"/>
                <w:sz w:val="19"/>
                <w:szCs w:val="19"/>
                <w:lang w:val="en-US" w:eastAsia="en-US" w:bidi="ar-SA"/>
              </w:rPr>
              <w:t>限</w:t>
            </w:r>
            <w:r>
              <w:rPr>
                <w:rFonts w:hint="default" w:ascii="Times New Roman" w:hAnsi="Times New Roman" w:eastAsia="宋体" w:cs="Times New Roman"/>
                <w:snapToGrid w:val="0"/>
                <w:color w:val="000000"/>
                <w:spacing w:val="29"/>
                <w:kern w:val="0"/>
                <w:sz w:val="19"/>
                <w:szCs w:val="19"/>
                <w:lang w:val="en-US" w:eastAsia="en-US" w:bidi="ar-SA"/>
              </w:rPr>
              <w:t xml:space="preserve"> </w:t>
            </w:r>
            <w:r>
              <w:rPr>
                <w:rFonts w:hint="default" w:ascii="Times New Roman" w:hAnsi="Times New Roman" w:eastAsia="宋体" w:cs="Times New Roman"/>
                <w:b/>
                <w:bCs/>
                <w:snapToGrid w:val="0"/>
                <w:color w:val="000000"/>
                <w:spacing w:val="-20"/>
                <w:kern w:val="0"/>
                <w:sz w:val="19"/>
                <w:szCs w:val="19"/>
                <w:lang w:val="en-US" w:eastAsia="zh-CN" w:bidi="ar-SA"/>
              </w:rPr>
              <w:t>（</w:t>
            </w:r>
            <w:r>
              <w:rPr>
                <w:rFonts w:hint="default" w:ascii="Times New Roman" w:hAnsi="Times New Roman" w:eastAsia="宋体" w:cs="Times New Roman"/>
                <w:snapToGrid w:val="0"/>
                <w:color w:val="000000"/>
                <w:spacing w:val="-5"/>
                <w:kern w:val="0"/>
                <w:sz w:val="19"/>
                <w:szCs w:val="19"/>
                <w:lang w:val="en-US" w:eastAsia="en-US" w:bidi="ar-SA"/>
              </w:rPr>
              <w:t xml:space="preserve"> </w:t>
            </w:r>
            <w:r>
              <w:rPr>
                <w:rFonts w:hint="default" w:ascii="Times New Roman" w:hAnsi="Times New Roman" w:eastAsia="宋体" w:cs="Times New Roman"/>
                <w:b/>
                <w:bCs/>
                <w:snapToGrid w:val="0"/>
                <w:color w:val="000000"/>
                <w:spacing w:val="-20"/>
                <w:kern w:val="0"/>
                <w:sz w:val="19"/>
                <w:szCs w:val="19"/>
                <w:lang w:val="en-US" w:eastAsia="en-US" w:bidi="ar-SA"/>
              </w:rPr>
              <w:t>年</w:t>
            </w:r>
            <w:r>
              <w:rPr>
                <w:rFonts w:hint="default" w:ascii="Times New Roman" w:hAnsi="Times New Roman" w:eastAsia="宋体" w:cs="Times New Roman"/>
                <w:snapToGrid w:val="0"/>
                <w:color w:val="000000"/>
                <w:spacing w:val="-4"/>
                <w:kern w:val="0"/>
                <w:sz w:val="19"/>
                <w:szCs w:val="19"/>
                <w:lang w:val="en-US" w:eastAsia="en-US" w:bidi="ar-SA"/>
              </w:rPr>
              <w:t xml:space="preserve"> </w:t>
            </w:r>
            <w:r>
              <w:rPr>
                <w:rFonts w:hint="default" w:ascii="Times New Roman" w:hAnsi="Times New Roman" w:eastAsia="宋体" w:cs="Times New Roman"/>
                <w:b/>
                <w:bCs/>
                <w:snapToGrid w:val="0"/>
                <w:color w:val="000000"/>
                <w:spacing w:val="-20"/>
                <w:kern w:val="0"/>
                <w:sz w:val="19"/>
                <w:szCs w:val="19"/>
                <w:lang w:val="en-US" w:eastAsia="zh-CN" w:bidi="ar-SA"/>
              </w:rPr>
              <w:t>）</w:t>
            </w:r>
          </w:p>
        </w:tc>
        <w:tc>
          <w:tcPr>
            <w:tcW w:w="661" w:type="pct"/>
            <w:noWrap w:val="0"/>
            <w:vAlign w:val="top"/>
          </w:tcPr>
          <w:p w14:paraId="5145617E">
            <w:pPr>
              <w:kinsoku w:val="0"/>
              <w:autoSpaceDE w:val="0"/>
              <w:autoSpaceDN w:val="0"/>
              <w:adjustRightInd w:val="0"/>
              <w:snapToGrid w:val="0"/>
              <w:spacing w:before="291" w:line="221" w:lineRule="auto"/>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b/>
                <w:bCs/>
                <w:snapToGrid w:val="0"/>
                <w:color w:val="000000"/>
                <w:spacing w:val="-5"/>
                <w:kern w:val="0"/>
                <w:sz w:val="19"/>
                <w:szCs w:val="19"/>
                <w:lang w:val="en-US" w:eastAsia="en-US" w:bidi="ar-SA"/>
              </w:rPr>
              <w:t>性能</w:t>
            </w:r>
          </w:p>
          <w:p w14:paraId="0AF8D9D7">
            <w:pPr>
              <w:kinsoku w:val="0"/>
              <w:autoSpaceDE w:val="0"/>
              <w:autoSpaceDN w:val="0"/>
              <w:adjustRightInd w:val="0"/>
              <w:snapToGrid w:val="0"/>
              <w:spacing w:before="92" w:line="221" w:lineRule="auto"/>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b/>
                <w:bCs/>
                <w:snapToGrid w:val="0"/>
                <w:color w:val="000000"/>
                <w:spacing w:val="-5"/>
                <w:kern w:val="0"/>
                <w:sz w:val="19"/>
                <w:szCs w:val="19"/>
                <w:lang w:val="en-US" w:eastAsia="en-US" w:bidi="ar-SA"/>
              </w:rPr>
              <w:t>要求</w:t>
            </w:r>
          </w:p>
        </w:tc>
      </w:tr>
      <w:tr w14:paraId="73127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8" w:hRule="atLeast"/>
        </w:trPr>
        <w:tc>
          <w:tcPr>
            <w:tcW w:w="846" w:type="pct"/>
            <w:vMerge w:val="restart"/>
            <w:tcBorders>
              <w:bottom w:val="nil"/>
            </w:tcBorders>
            <w:noWrap w:val="0"/>
            <w:vAlign w:val="top"/>
          </w:tcPr>
          <w:p w14:paraId="2A3494C3">
            <w:pPr>
              <w:widowControl/>
              <w:kinsoku w:val="0"/>
              <w:autoSpaceDE w:val="0"/>
              <w:autoSpaceDN w:val="0"/>
              <w:adjustRightInd w:val="0"/>
              <w:snapToGrid w:val="0"/>
              <w:spacing w:line="250" w:lineRule="auto"/>
              <w:jc w:val="left"/>
              <w:textAlignment w:val="baseline"/>
              <w:rPr>
                <w:rFonts w:hint="default" w:ascii="Times New Roman" w:hAnsi="Times New Roman" w:eastAsia="Arial" w:cs="Times New Roman"/>
                <w:snapToGrid w:val="0"/>
                <w:color w:val="000000"/>
                <w:kern w:val="0"/>
                <w:sz w:val="21"/>
                <w:szCs w:val="21"/>
                <w:lang w:eastAsia="en-US"/>
              </w:rPr>
            </w:pPr>
          </w:p>
          <w:p w14:paraId="17E64EAF">
            <w:pPr>
              <w:widowControl/>
              <w:kinsoku w:val="0"/>
              <w:autoSpaceDE w:val="0"/>
              <w:autoSpaceDN w:val="0"/>
              <w:adjustRightInd w:val="0"/>
              <w:snapToGrid w:val="0"/>
              <w:spacing w:line="250" w:lineRule="auto"/>
              <w:jc w:val="left"/>
              <w:textAlignment w:val="baseline"/>
              <w:rPr>
                <w:rFonts w:hint="default" w:ascii="Times New Roman" w:hAnsi="Times New Roman" w:eastAsia="Arial" w:cs="Times New Roman"/>
                <w:snapToGrid w:val="0"/>
                <w:color w:val="000000"/>
                <w:kern w:val="0"/>
                <w:sz w:val="21"/>
                <w:szCs w:val="21"/>
                <w:lang w:eastAsia="en-US"/>
              </w:rPr>
            </w:pPr>
          </w:p>
          <w:p w14:paraId="0C98845A">
            <w:pPr>
              <w:widowControl/>
              <w:kinsoku w:val="0"/>
              <w:autoSpaceDE w:val="0"/>
              <w:autoSpaceDN w:val="0"/>
              <w:adjustRightInd w:val="0"/>
              <w:snapToGrid w:val="0"/>
              <w:spacing w:line="250" w:lineRule="auto"/>
              <w:jc w:val="left"/>
              <w:textAlignment w:val="baseline"/>
              <w:rPr>
                <w:rFonts w:hint="default" w:ascii="Times New Roman" w:hAnsi="Times New Roman" w:eastAsia="Arial" w:cs="Times New Roman"/>
                <w:snapToGrid w:val="0"/>
                <w:color w:val="000000"/>
                <w:kern w:val="0"/>
                <w:sz w:val="21"/>
                <w:szCs w:val="21"/>
                <w:lang w:eastAsia="en-US"/>
              </w:rPr>
            </w:pPr>
          </w:p>
          <w:p w14:paraId="0ED7C5CE">
            <w:pPr>
              <w:kinsoku w:val="0"/>
              <w:autoSpaceDE w:val="0"/>
              <w:autoSpaceDN w:val="0"/>
              <w:adjustRightInd w:val="0"/>
              <w:snapToGrid w:val="0"/>
              <w:spacing w:before="62" w:line="219" w:lineRule="auto"/>
              <w:ind w:left="265"/>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办公室家具</w:t>
            </w:r>
          </w:p>
        </w:tc>
        <w:tc>
          <w:tcPr>
            <w:tcW w:w="602" w:type="pct"/>
            <w:noWrap w:val="0"/>
            <w:vAlign w:val="top"/>
          </w:tcPr>
          <w:p w14:paraId="78594BAB">
            <w:pPr>
              <w:widowControl/>
              <w:kinsoku w:val="0"/>
              <w:autoSpaceDE w:val="0"/>
              <w:autoSpaceDN w:val="0"/>
              <w:adjustRightInd w:val="0"/>
              <w:snapToGrid w:val="0"/>
              <w:spacing w:line="246" w:lineRule="auto"/>
              <w:jc w:val="left"/>
              <w:textAlignment w:val="baseline"/>
              <w:rPr>
                <w:rFonts w:hint="default" w:ascii="Times New Roman" w:hAnsi="Times New Roman" w:eastAsia="Arial" w:cs="Times New Roman"/>
                <w:snapToGrid w:val="0"/>
                <w:color w:val="000000"/>
                <w:kern w:val="0"/>
                <w:sz w:val="21"/>
                <w:szCs w:val="21"/>
                <w:lang w:eastAsia="en-US"/>
              </w:rPr>
            </w:pPr>
          </w:p>
          <w:p w14:paraId="60F9F719">
            <w:pPr>
              <w:kinsoku w:val="0"/>
              <w:autoSpaceDE w:val="0"/>
              <w:autoSpaceDN w:val="0"/>
              <w:adjustRightInd w:val="0"/>
              <w:snapToGrid w:val="0"/>
              <w:spacing w:before="62" w:line="246" w:lineRule="auto"/>
              <w:ind w:left="12" w:leftChars="0" w:right="68" w:rightChars="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科</w:t>
            </w:r>
            <w:r>
              <w:rPr>
                <w:rFonts w:hint="default" w:ascii="Times New Roman" w:hAnsi="Times New Roman" w:eastAsia="宋体" w:cs="Times New Roman"/>
                <w:snapToGrid w:val="0"/>
                <w:color w:val="000000"/>
                <w:spacing w:val="-2"/>
                <w:kern w:val="0"/>
                <w:sz w:val="19"/>
                <w:szCs w:val="19"/>
                <w:lang w:val="en-US" w:eastAsia="en-US" w:bidi="ar-SA"/>
              </w:rPr>
              <w:t>级及以下干</w:t>
            </w:r>
            <w:r>
              <w:rPr>
                <w:rFonts w:hint="default" w:ascii="Times New Roman" w:hAnsi="Times New Roman" w:eastAsia="宋体" w:cs="Times New Roman"/>
                <w:snapToGrid w:val="0"/>
                <w:color w:val="000000"/>
                <w:kern w:val="0"/>
                <w:sz w:val="19"/>
                <w:szCs w:val="19"/>
                <w:lang w:val="en-US" w:eastAsia="en-US" w:bidi="ar-SA"/>
              </w:rPr>
              <w:t xml:space="preserve"> </w:t>
            </w:r>
            <w:r>
              <w:rPr>
                <w:rFonts w:hint="default" w:ascii="Times New Roman" w:hAnsi="Times New Roman" w:eastAsia="宋体" w:cs="Times New Roman"/>
                <w:snapToGrid w:val="0"/>
                <w:color w:val="000000"/>
                <w:spacing w:val="-2"/>
                <w:kern w:val="0"/>
                <w:sz w:val="19"/>
                <w:szCs w:val="19"/>
                <w:lang w:val="en-US" w:eastAsia="en-US" w:bidi="ar-SA"/>
              </w:rPr>
              <w:t>部办公室</w:t>
            </w:r>
          </w:p>
        </w:tc>
        <w:tc>
          <w:tcPr>
            <w:tcW w:w="1235" w:type="pct"/>
            <w:noWrap w:val="0"/>
            <w:vAlign w:val="top"/>
          </w:tcPr>
          <w:p w14:paraId="40906921">
            <w:pPr>
              <w:kinsoku w:val="0"/>
              <w:autoSpaceDE w:val="0"/>
              <w:autoSpaceDN w:val="0"/>
              <w:adjustRightInd w:val="0"/>
              <w:snapToGrid w:val="0"/>
              <w:spacing w:before="172" w:line="252" w:lineRule="auto"/>
              <w:ind w:left="13"/>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办公桌椅每人1套，桌前椅2</w:t>
            </w:r>
            <w:r>
              <w:rPr>
                <w:rFonts w:hint="default" w:ascii="Times New Roman" w:hAnsi="Times New Roman" w:eastAsia="宋体" w:cs="Times New Roman"/>
                <w:snapToGrid w:val="0"/>
                <w:color w:val="000000"/>
                <w:spacing w:val="3"/>
                <w:kern w:val="0"/>
                <w:sz w:val="19"/>
                <w:szCs w:val="19"/>
                <w:lang w:val="en-US" w:eastAsia="en-US" w:bidi="ar-SA"/>
              </w:rPr>
              <w:t xml:space="preserve">  </w:t>
            </w:r>
            <w:r>
              <w:rPr>
                <w:rFonts w:hint="default" w:ascii="Times New Roman" w:hAnsi="Times New Roman" w:eastAsia="宋体" w:cs="Times New Roman"/>
                <w:snapToGrid w:val="0"/>
                <w:color w:val="000000"/>
                <w:spacing w:val="4"/>
                <w:kern w:val="0"/>
                <w:sz w:val="19"/>
                <w:szCs w:val="19"/>
                <w:lang w:val="en-US" w:eastAsia="en-US" w:bidi="ar-SA"/>
              </w:rPr>
              <w:t>张；文件柜1套，书柜1套；</w:t>
            </w:r>
            <w:r>
              <w:rPr>
                <w:rFonts w:hint="default" w:ascii="Times New Roman" w:hAnsi="Times New Roman" w:eastAsia="宋体" w:cs="Times New Roman"/>
                <w:snapToGrid w:val="0"/>
                <w:color w:val="000000"/>
                <w:spacing w:val="-3"/>
                <w:kern w:val="0"/>
                <w:sz w:val="19"/>
                <w:szCs w:val="19"/>
                <w:lang w:val="en-US" w:eastAsia="en-US" w:bidi="ar-SA"/>
              </w:rPr>
              <w:t>沙发茶几1套</w:t>
            </w:r>
            <w:r>
              <w:rPr>
                <w:rFonts w:hint="default" w:ascii="Times New Roman" w:hAnsi="Times New Roman" w:eastAsia="宋体" w:cs="Times New Roman"/>
                <w:snapToGrid w:val="0"/>
                <w:color w:val="000000"/>
                <w:spacing w:val="-3"/>
                <w:kern w:val="0"/>
                <w:sz w:val="19"/>
                <w:szCs w:val="19"/>
                <w:lang w:val="en-US" w:eastAsia="zh-CN" w:bidi="ar-SA"/>
              </w:rPr>
              <w:t>，以</w:t>
            </w:r>
            <w:r>
              <w:rPr>
                <w:rFonts w:hint="default" w:ascii="Times New Roman" w:hAnsi="Times New Roman" w:eastAsia="宋体" w:cs="Times New Roman"/>
                <w:snapToGrid w:val="0"/>
                <w:color w:val="000000"/>
                <w:spacing w:val="-3"/>
                <w:kern w:val="0"/>
                <w:sz w:val="19"/>
                <w:szCs w:val="19"/>
                <w:lang w:val="en-US" w:eastAsia="en-US" w:bidi="ar-SA"/>
              </w:rPr>
              <w:t>及其他各项。</w:t>
            </w:r>
          </w:p>
        </w:tc>
        <w:tc>
          <w:tcPr>
            <w:tcW w:w="1028" w:type="pct"/>
            <w:noWrap w:val="0"/>
            <w:vAlign w:val="top"/>
          </w:tcPr>
          <w:p w14:paraId="1BF6C5E1">
            <w:pPr>
              <w:kinsoku w:val="0"/>
              <w:autoSpaceDE w:val="0"/>
              <w:autoSpaceDN w:val="0"/>
              <w:adjustRightInd w:val="0"/>
              <w:snapToGrid w:val="0"/>
              <w:spacing w:before="192" w:line="252" w:lineRule="auto"/>
              <w:ind w:left="15" w:leftChars="0" w:right="40" w:rightChars="0" w:firstLine="40" w:firstLineChars="0"/>
              <w:jc w:val="both"/>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
                <w:kern w:val="0"/>
                <w:sz w:val="19"/>
                <w:szCs w:val="19"/>
                <w:lang w:val="en-US" w:eastAsia="zh-CN" w:bidi="ar-SA"/>
              </w:rPr>
              <w:t>科</w:t>
            </w:r>
            <w:r>
              <w:rPr>
                <w:rFonts w:hint="default" w:ascii="Times New Roman" w:hAnsi="Times New Roman" w:eastAsia="宋体" w:cs="Times New Roman"/>
                <w:snapToGrid w:val="0"/>
                <w:color w:val="000000"/>
                <w:spacing w:val="1"/>
                <w:kern w:val="0"/>
                <w:sz w:val="19"/>
                <w:szCs w:val="19"/>
                <w:lang w:val="en-US" w:eastAsia="en-US" w:bidi="ar-SA"/>
              </w:rPr>
              <w:t>级及</w:t>
            </w:r>
            <w:r>
              <w:rPr>
                <w:rFonts w:hint="default" w:ascii="Times New Roman" w:hAnsi="Times New Roman" w:eastAsia="宋体" w:cs="Times New Roman"/>
                <w:snapToGrid w:val="0"/>
                <w:color w:val="000000"/>
                <w:spacing w:val="1"/>
                <w:kern w:val="0"/>
                <w:sz w:val="19"/>
                <w:szCs w:val="19"/>
                <w:lang w:val="en-US" w:eastAsia="zh-CN" w:bidi="ar-SA"/>
              </w:rPr>
              <w:t>科</w:t>
            </w:r>
            <w:r>
              <w:rPr>
                <w:rFonts w:hint="default" w:ascii="Times New Roman" w:hAnsi="Times New Roman" w:eastAsia="宋体" w:cs="Times New Roman"/>
                <w:snapToGrid w:val="0"/>
                <w:color w:val="000000"/>
                <w:spacing w:val="1"/>
                <w:kern w:val="0"/>
                <w:sz w:val="19"/>
                <w:szCs w:val="19"/>
                <w:lang w:val="en-US" w:eastAsia="en-US" w:bidi="ar-SA"/>
              </w:rPr>
              <w:t>级以下干部办公</w:t>
            </w:r>
            <w:r>
              <w:rPr>
                <w:rFonts w:hint="default" w:ascii="Times New Roman" w:hAnsi="Times New Roman" w:eastAsia="宋体" w:cs="Times New Roman"/>
                <w:snapToGrid w:val="0"/>
                <w:color w:val="000000"/>
                <w:spacing w:val="2"/>
                <w:kern w:val="0"/>
                <w:sz w:val="19"/>
                <w:szCs w:val="19"/>
                <w:lang w:val="en-US" w:eastAsia="en-US" w:bidi="ar-SA"/>
              </w:rPr>
              <w:t>室按每人不超过</w:t>
            </w:r>
            <w:r>
              <w:rPr>
                <w:rFonts w:hint="default" w:ascii="Times New Roman" w:hAnsi="Times New Roman" w:eastAsia="宋体" w:cs="Times New Roman"/>
                <w:snapToGrid w:val="0"/>
                <w:color w:val="000000"/>
                <w:spacing w:val="2"/>
                <w:kern w:val="0"/>
                <w:sz w:val="19"/>
                <w:szCs w:val="19"/>
                <w:lang w:val="en-US" w:eastAsia="zh-CN" w:bidi="ar-SA"/>
              </w:rPr>
              <w:t>5,</w:t>
            </w:r>
            <w:r>
              <w:rPr>
                <w:rFonts w:hint="default" w:ascii="Times New Roman" w:hAnsi="Times New Roman" w:eastAsia="宋体" w:cs="Times New Roman"/>
                <w:snapToGrid w:val="0"/>
                <w:color w:val="000000"/>
                <w:spacing w:val="2"/>
                <w:kern w:val="0"/>
                <w:sz w:val="19"/>
                <w:szCs w:val="19"/>
                <w:lang w:val="en-US" w:eastAsia="en-US" w:bidi="ar-SA"/>
              </w:rPr>
              <w:t>000元</w:t>
            </w:r>
            <w:r>
              <w:rPr>
                <w:rFonts w:hint="default" w:ascii="Times New Roman" w:hAnsi="Times New Roman" w:eastAsia="宋体" w:cs="Times New Roman"/>
                <w:snapToGrid w:val="0"/>
                <w:color w:val="000000"/>
                <w:spacing w:val="-2"/>
                <w:kern w:val="0"/>
                <w:sz w:val="19"/>
                <w:szCs w:val="19"/>
                <w:lang w:val="en-US" w:eastAsia="en-US" w:bidi="ar-SA"/>
              </w:rPr>
              <w:t>配置。</w:t>
            </w:r>
          </w:p>
        </w:tc>
        <w:tc>
          <w:tcPr>
            <w:tcW w:w="624" w:type="pct"/>
            <w:noWrap w:val="0"/>
            <w:vAlign w:val="top"/>
          </w:tcPr>
          <w:p w14:paraId="3ED4BA25">
            <w:pPr>
              <w:widowControl/>
              <w:kinsoku w:val="0"/>
              <w:autoSpaceDE w:val="0"/>
              <w:autoSpaceDN w:val="0"/>
              <w:adjustRightInd w:val="0"/>
              <w:snapToGrid w:val="0"/>
              <w:spacing w:line="384" w:lineRule="auto"/>
              <w:jc w:val="left"/>
              <w:textAlignment w:val="baseline"/>
              <w:rPr>
                <w:rFonts w:hint="default" w:ascii="Times New Roman" w:hAnsi="Times New Roman" w:eastAsia="Arial" w:cs="Times New Roman"/>
                <w:snapToGrid w:val="0"/>
                <w:color w:val="000000"/>
                <w:kern w:val="0"/>
                <w:sz w:val="21"/>
                <w:szCs w:val="21"/>
                <w:lang w:eastAsia="en-US"/>
              </w:rPr>
            </w:pPr>
          </w:p>
          <w:p w14:paraId="635C51BC">
            <w:pPr>
              <w:kinsoku w:val="0"/>
              <w:autoSpaceDE w:val="0"/>
              <w:autoSpaceDN w:val="0"/>
              <w:adjustRightInd w:val="0"/>
              <w:snapToGrid w:val="0"/>
              <w:spacing w:before="62" w:line="240" w:lineRule="auto"/>
              <w:ind w:left="42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15</w:t>
            </w:r>
          </w:p>
        </w:tc>
        <w:tc>
          <w:tcPr>
            <w:tcW w:w="661" w:type="pct"/>
            <w:vMerge w:val="restart"/>
            <w:tcBorders>
              <w:bottom w:val="nil"/>
            </w:tcBorders>
            <w:noWrap w:val="0"/>
            <w:vAlign w:val="top"/>
          </w:tcPr>
          <w:p w14:paraId="28CF4974">
            <w:pPr>
              <w:widowControl/>
              <w:kinsoku w:val="0"/>
              <w:autoSpaceDE w:val="0"/>
              <w:autoSpaceDN w:val="0"/>
              <w:adjustRightInd w:val="0"/>
              <w:snapToGrid w:val="0"/>
              <w:spacing w:line="247" w:lineRule="auto"/>
              <w:jc w:val="left"/>
              <w:textAlignment w:val="baseline"/>
              <w:rPr>
                <w:rFonts w:hint="default" w:ascii="Times New Roman" w:hAnsi="Times New Roman" w:eastAsia="Arial" w:cs="Times New Roman"/>
                <w:snapToGrid w:val="0"/>
                <w:color w:val="000000"/>
                <w:kern w:val="0"/>
                <w:sz w:val="21"/>
                <w:szCs w:val="21"/>
                <w:lang w:eastAsia="en-US"/>
              </w:rPr>
            </w:pPr>
          </w:p>
          <w:p w14:paraId="72009F5B">
            <w:pPr>
              <w:widowControl/>
              <w:kinsoku w:val="0"/>
              <w:autoSpaceDE w:val="0"/>
              <w:autoSpaceDN w:val="0"/>
              <w:adjustRightInd w:val="0"/>
              <w:snapToGrid w:val="0"/>
              <w:spacing w:line="248" w:lineRule="auto"/>
              <w:jc w:val="left"/>
              <w:textAlignment w:val="baseline"/>
              <w:rPr>
                <w:rFonts w:hint="default" w:ascii="Times New Roman" w:hAnsi="Times New Roman" w:eastAsia="Arial" w:cs="Times New Roman"/>
                <w:snapToGrid w:val="0"/>
                <w:color w:val="000000"/>
                <w:kern w:val="0"/>
                <w:sz w:val="21"/>
                <w:szCs w:val="21"/>
                <w:lang w:eastAsia="en-US"/>
              </w:rPr>
            </w:pPr>
          </w:p>
          <w:p w14:paraId="233C879A">
            <w:pPr>
              <w:kinsoku w:val="0"/>
              <w:autoSpaceDE w:val="0"/>
              <w:autoSpaceDN w:val="0"/>
              <w:adjustRightInd w:val="0"/>
              <w:snapToGrid w:val="0"/>
              <w:spacing w:before="172" w:line="252" w:lineRule="auto"/>
              <w:ind w:left="13"/>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充分考虑办公布局，符 合简朴实  用、环保要求，不得配置豪华家具，不得使用名贵木材。</w:t>
            </w:r>
          </w:p>
        </w:tc>
      </w:tr>
      <w:tr w14:paraId="183E4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846" w:type="pct"/>
            <w:vMerge w:val="continue"/>
            <w:tcBorders>
              <w:top w:val="nil"/>
            </w:tcBorders>
            <w:noWrap w:val="0"/>
            <w:vAlign w:val="top"/>
          </w:tcPr>
          <w:p w14:paraId="2FEFFA58">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02" w:type="pct"/>
            <w:noWrap w:val="0"/>
            <w:vAlign w:val="top"/>
          </w:tcPr>
          <w:p w14:paraId="550CE23B">
            <w:pPr>
              <w:kinsoku w:val="0"/>
              <w:autoSpaceDE w:val="0"/>
              <w:autoSpaceDN w:val="0"/>
              <w:adjustRightInd w:val="0"/>
              <w:snapToGrid w:val="0"/>
              <w:spacing w:before="244" w:line="220" w:lineRule="auto"/>
              <w:ind w:left="1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保密柜</w:t>
            </w:r>
          </w:p>
        </w:tc>
        <w:tc>
          <w:tcPr>
            <w:tcW w:w="1235" w:type="pct"/>
            <w:noWrap w:val="0"/>
            <w:vAlign w:val="top"/>
          </w:tcPr>
          <w:p w14:paraId="3BA05D04">
            <w:pPr>
              <w:kinsoku w:val="0"/>
              <w:autoSpaceDE w:val="0"/>
              <w:autoSpaceDN w:val="0"/>
              <w:adjustRightInd w:val="0"/>
              <w:snapToGrid w:val="0"/>
              <w:spacing w:before="113" w:line="265" w:lineRule="auto"/>
              <w:ind w:left="13"/>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1"/>
                <w:kern w:val="0"/>
                <w:sz w:val="19"/>
                <w:szCs w:val="19"/>
                <w:lang w:val="en-US" w:eastAsia="en-US" w:bidi="ar-SA"/>
              </w:rPr>
              <w:t>根据保</w:t>
            </w:r>
            <w:r>
              <w:rPr>
                <w:rFonts w:hint="default" w:ascii="Times New Roman" w:hAnsi="Times New Roman" w:eastAsia="宋体" w:cs="Times New Roman"/>
                <w:snapToGrid w:val="0"/>
                <w:color w:val="000000"/>
                <w:spacing w:val="-10"/>
                <w:kern w:val="0"/>
                <w:sz w:val="19"/>
                <w:szCs w:val="19"/>
                <w:lang w:val="en-US" w:eastAsia="en-US" w:bidi="ar-SA"/>
              </w:rPr>
              <w:t>密规定和工作需要合</w:t>
            </w:r>
            <w:r>
              <w:rPr>
                <w:rFonts w:hint="default" w:ascii="Times New Roman" w:hAnsi="Times New Roman" w:eastAsia="宋体" w:cs="Times New Roman"/>
                <w:snapToGrid w:val="0"/>
                <w:color w:val="000000"/>
                <w:spacing w:val="-7"/>
                <w:kern w:val="0"/>
                <w:sz w:val="19"/>
                <w:szCs w:val="19"/>
                <w:lang w:val="en-US" w:eastAsia="en-US" w:bidi="ar-SA"/>
              </w:rPr>
              <w:t>理</w:t>
            </w:r>
            <w:r>
              <w:rPr>
                <w:rFonts w:hint="default" w:ascii="Times New Roman" w:hAnsi="Times New Roman" w:eastAsia="宋体" w:cs="Times New Roman"/>
                <w:snapToGrid w:val="0"/>
                <w:color w:val="000000"/>
                <w:spacing w:val="2"/>
                <w:kern w:val="0"/>
                <w:sz w:val="19"/>
                <w:szCs w:val="19"/>
                <w:lang w:val="en-US" w:eastAsia="en-US" w:bidi="ar-SA"/>
              </w:rPr>
              <w:t xml:space="preserve"> </w:t>
            </w:r>
            <w:r>
              <w:rPr>
                <w:rFonts w:hint="default" w:ascii="Times New Roman" w:hAnsi="Times New Roman" w:eastAsia="宋体" w:cs="Times New Roman"/>
                <w:snapToGrid w:val="0"/>
                <w:color w:val="000000"/>
                <w:spacing w:val="-2"/>
                <w:kern w:val="0"/>
                <w:sz w:val="19"/>
                <w:szCs w:val="19"/>
                <w:lang w:val="en-US" w:eastAsia="en-US" w:bidi="ar-SA"/>
              </w:rPr>
              <w:t>配置。</w:t>
            </w:r>
          </w:p>
        </w:tc>
        <w:tc>
          <w:tcPr>
            <w:tcW w:w="1028" w:type="pct"/>
            <w:noWrap w:val="0"/>
            <w:vAlign w:val="top"/>
          </w:tcPr>
          <w:p w14:paraId="02736E9F">
            <w:pPr>
              <w:kinsoku w:val="0"/>
              <w:autoSpaceDE w:val="0"/>
              <w:autoSpaceDN w:val="0"/>
              <w:adjustRightInd w:val="0"/>
              <w:snapToGrid w:val="0"/>
              <w:spacing w:before="241" w:line="216" w:lineRule="auto"/>
              <w:ind w:firstLine="186" w:firstLineChars="10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zh-CN" w:bidi="ar-SA"/>
              </w:rPr>
              <w:t>2</w:t>
            </w:r>
            <w:r>
              <w:rPr>
                <w:rFonts w:eastAsia="仿宋_GB2312"/>
                <w:kern w:val="0"/>
                <w:szCs w:val="21"/>
              </w:rPr>
              <w:t>,</w:t>
            </w:r>
            <w:r>
              <w:rPr>
                <w:rFonts w:hint="default" w:ascii="Times New Roman" w:hAnsi="Times New Roman" w:eastAsia="宋体" w:cs="Times New Roman"/>
                <w:snapToGrid w:val="0"/>
                <w:color w:val="000000"/>
                <w:spacing w:val="-2"/>
                <w:kern w:val="0"/>
                <w:sz w:val="19"/>
                <w:szCs w:val="19"/>
                <w:lang w:val="en-US" w:eastAsia="zh-CN" w:bidi="ar-SA"/>
              </w:rPr>
              <w:t>9</w:t>
            </w:r>
            <w:r>
              <w:rPr>
                <w:rFonts w:hint="default" w:ascii="Times New Roman" w:hAnsi="Times New Roman" w:eastAsia="宋体" w:cs="Times New Roman"/>
                <w:snapToGrid w:val="0"/>
                <w:color w:val="000000"/>
                <w:spacing w:val="-2"/>
                <w:kern w:val="0"/>
                <w:sz w:val="19"/>
                <w:szCs w:val="19"/>
                <w:lang w:val="en-US" w:eastAsia="en-US" w:bidi="ar-SA"/>
              </w:rPr>
              <w:t>00元</w:t>
            </w:r>
            <w:r>
              <w:rPr>
                <w:rFonts w:hint="default" w:ascii="Times New Roman" w:hAnsi="Times New Roman" w:eastAsia="宋体" w:cs="Times New Roman"/>
                <w:snapToGrid w:val="0"/>
                <w:color w:val="000000"/>
                <w:spacing w:val="-2"/>
                <w:kern w:val="0"/>
                <w:sz w:val="19"/>
                <w:szCs w:val="19"/>
                <w:lang w:val="en-US" w:eastAsia="zh-CN" w:bidi="ar-SA"/>
              </w:rPr>
              <w:t>／</w:t>
            </w:r>
            <w:r>
              <w:rPr>
                <w:rFonts w:hint="default" w:ascii="Times New Roman" w:hAnsi="Times New Roman" w:eastAsia="宋体" w:cs="Times New Roman"/>
                <w:snapToGrid w:val="0"/>
                <w:color w:val="000000"/>
                <w:spacing w:val="-2"/>
                <w:kern w:val="0"/>
                <w:sz w:val="19"/>
                <w:szCs w:val="19"/>
                <w:lang w:val="en-US" w:eastAsia="en-US" w:bidi="ar-SA"/>
              </w:rPr>
              <w:t>组</w:t>
            </w:r>
          </w:p>
        </w:tc>
        <w:tc>
          <w:tcPr>
            <w:tcW w:w="624" w:type="pct"/>
            <w:noWrap w:val="0"/>
            <w:vAlign w:val="top"/>
          </w:tcPr>
          <w:p w14:paraId="5A9937CC">
            <w:pPr>
              <w:kinsoku w:val="0"/>
              <w:autoSpaceDE w:val="0"/>
              <w:autoSpaceDN w:val="0"/>
              <w:adjustRightInd w:val="0"/>
              <w:snapToGrid w:val="0"/>
              <w:spacing w:before="262" w:line="240" w:lineRule="auto"/>
              <w:ind w:left="42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3"/>
                <w:kern w:val="0"/>
                <w:sz w:val="19"/>
                <w:szCs w:val="19"/>
                <w:lang w:val="en-US" w:eastAsia="en-US" w:bidi="ar-SA"/>
              </w:rPr>
              <w:t>20</w:t>
            </w:r>
          </w:p>
        </w:tc>
        <w:tc>
          <w:tcPr>
            <w:tcW w:w="661" w:type="pct"/>
            <w:vMerge w:val="continue"/>
            <w:tcBorders>
              <w:top w:val="nil"/>
              <w:bottom w:val="nil"/>
            </w:tcBorders>
            <w:noWrap w:val="0"/>
            <w:vAlign w:val="top"/>
          </w:tcPr>
          <w:p w14:paraId="3724BCF6">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580B6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7" w:hRule="atLeast"/>
        </w:trPr>
        <w:tc>
          <w:tcPr>
            <w:tcW w:w="846" w:type="pct"/>
            <w:vMerge w:val="restart"/>
            <w:tcBorders>
              <w:bottom w:val="nil"/>
            </w:tcBorders>
            <w:noWrap w:val="0"/>
            <w:vAlign w:val="top"/>
          </w:tcPr>
          <w:p w14:paraId="37F9F4B2">
            <w:pPr>
              <w:widowControl/>
              <w:kinsoku w:val="0"/>
              <w:autoSpaceDE w:val="0"/>
              <w:autoSpaceDN w:val="0"/>
              <w:adjustRightInd w:val="0"/>
              <w:snapToGrid w:val="0"/>
              <w:spacing w:line="271" w:lineRule="auto"/>
              <w:jc w:val="left"/>
              <w:textAlignment w:val="baseline"/>
              <w:rPr>
                <w:rFonts w:hint="default" w:ascii="Times New Roman" w:hAnsi="Times New Roman" w:eastAsia="Arial" w:cs="Times New Roman"/>
                <w:snapToGrid w:val="0"/>
                <w:color w:val="000000"/>
                <w:kern w:val="0"/>
                <w:sz w:val="21"/>
                <w:szCs w:val="21"/>
                <w:lang w:eastAsia="en-US"/>
              </w:rPr>
            </w:pPr>
          </w:p>
          <w:p w14:paraId="55D69875">
            <w:pPr>
              <w:widowControl/>
              <w:kinsoku w:val="0"/>
              <w:autoSpaceDE w:val="0"/>
              <w:autoSpaceDN w:val="0"/>
              <w:adjustRightInd w:val="0"/>
              <w:snapToGrid w:val="0"/>
              <w:spacing w:line="271" w:lineRule="auto"/>
              <w:jc w:val="left"/>
              <w:textAlignment w:val="baseline"/>
              <w:rPr>
                <w:rFonts w:hint="default" w:ascii="Times New Roman" w:hAnsi="Times New Roman" w:eastAsia="Arial" w:cs="Times New Roman"/>
                <w:snapToGrid w:val="0"/>
                <w:color w:val="000000"/>
                <w:kern w:val="0"/>
                <w:sz w:val="21"/>
                <w:szCs w:val="21"/>
                <w:lang w:eastAsia="en-US"/>
              </w:rPr>
            </w:pPr>
          </w:p>
          <w:p w14:paraId="2F5ECB47">
            <w:pPr>
              <w:widowControl/>
              <w:kinsoku w:val="0"/>
              <w:autoSpaceDE w:val="0"/>
              <w:autoSpaceDN w:val="0"/>
              <w:adjustRightInd w:val="0"/>
              <w:snapToGrid w:val="0"/>
              <w:spacing w:line="271" w:lineRule="auto"/>
              <w:jc w:val="left"/>
              <w:textAlignment w:val="baseline"/>
              <w:rPr>
                <w:rFonts w:hint="default" w:ascii="Times New Roman" w:hAnsi="Times New Roman" w:eastAsia="Arial" w:cs="Times New Roman"/>
                <w:snapToGrid w:val="0"/>
                <w:color w:val="000000"/>
                <w:kern w:val="0"/>
                <w:sz w:val="21"/>
                <w:szCs w:val="21"/>
                <w:lang w:eastAsia="en-US"/>
              </w:rPr>
            </w:pPr>
          </w:p>
          <w:p w14:paraId="2538CC84">
            <w:pPr>
              <w:widowControl/>
              <w:kinsoku w:val="0"/>
              <w:autoSpaceDE w:val="0"/>
              <w:autoSpaceDN w:val="0"/>
              <w:adjustRightInd w:val="0"/>
              <w:snapToGrid w:val="0"/>
              <w:spacing w:line="272" w:lineRule="auto"/>
              <w:jc w:val="left"/>
              <w:textAlignment w:val="baseline"/>
              <w:rPr>
                <w:rFonts w:hint="default" w:ascii="Times New Roman" w:hAnsi="Times New Roman" w:eastAsia="Arial" w:cs="Times New Roman"/>
                <w:snapToGrid w:val="0"/>
                <w:color w:val="000000"/>
                <w:kern w:val="0"/>
                <w:sz w:val="21"/>
                <w:szCs w:val="21"/>
                <w:lang w:eastAsia="en-US"/>
              </w:rPr>
            </w:pPr>
          </w:p>
          <w:p w14:paraId="089EFE10">
            <w:pPr>
              <w:kinsoku w:val="0"/>
              <w:autoSpaceDE w:val="0"/>
              <w:autoSpaceDN w:val="0"/>
              <w:adjustRightInd w:val="0"/>
              <w:snapToGrid w:val="0"/>
              <w:spacing w:before="61" w:line="219" w:lineRule="auto"/>
              <w:ind w:left="264"/>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会议室家具</w:t>
            </w:r>
          </w:p>
        </w:tc>
        <w:tc>
          <w:tcPr>
            <w:tcW w:w="602" w:type="pct"/>
            <w:noWrap w:val="0"/>
            <w:vAlign w:val="top"/>
          </w:tcPr>
          <w:p w14:paraId="43597106">
            <w:pPr>
              <w:widowControl/>
              <w:kinsoku w:val="0"/>
              <w:autoSpaceDE w:val="0"/>
              <w:autoSpaceDN w:val="0"/>
              <w:adjustRightInd w:val="0"/>
              <w:snapToGrid w:val="0"/>
              <w:spacing w:line="265" w:lineRule="auto"/>
              <w:jc w:val="left"/>
              <w:textAlignment w:val="baseline"/>
              <w:rPr>
                <w:rFonts w:hint="default" w:ascii="Times New Roman" w:hAnsi="Times New Roman" w:eastAsia="Arial" w:cs="Times New Roman"/>
                <w:snapToGrid w:val="0"/>
                <w:color w:val="000000"/>
                <w:kern w:val="0"/>
                <w:sz w:val="21"/>
                <w:szCs w:val="21"/>
                <w:lang w:eastAsia="en-US"/>
              </w:rPr>
            </w:pPr>
          </w:p>
          <w:p w14:paraId="2C53F4CB">
            <w:pPr>
              <w:widowControl/>
              <w:kinsoku w:val="0"/>
              <w:autoSpaceDE w:val="0"/>
              <w:autoSpaceDN w:val="0"/>
              <w:adjustRightInd w:val="0"/>
              <w:snapToGrid w:val="0"/>
              <w:spacing w:line="265" w:lineRule="auto"/>
              <w:jc w:val="left"/>
              <w:textAlignment w:val="baseline"/>
              <w:rPr>
                <w:rFonts w:hint="default" w:ascii="Times New Roman" w:hAnsi="Times New Roman" w:eastAsia="Arial" w:cs="Times New Roman"/>
                <w:snapToGrid w:val="0"/>
                <w:color w:val="000000"/>
                <w:kern w:val="0"/>
                <w:sz w:val="21"/>
                <w:szCs w:val="21"/>
                <w:lang w:eastAsia="en-US"/>
              </w:rPr>
            </w:pPr>
          </w:p>
          <w:p w14:paraId="5A2C158A">
            <w:pPr>
              <w:widowControl/>
              <w:kinsoku w:val="0"/>
              <w:autoSpaceDE w:val="0"/>
              <w:autoSpaceDN w:val="0"/>
              <w:adjustRightInd w:val="0"/>
              <w:snapToGrid w:val="0"/>
              <w:spacing w:line="266" w:lineRule="auto"/>
              <w:jc w:val="left"/>
              <w:textAlignment w:val="baseline"/>
              <w:rPr>
                <w:rFonts w:hint="default" w:ascii="Times New Roman" w:hAnsi="Times New Roman" w:eastAsia="Arial" w:cs="Times New Roman"/>
                <w:snapToGrid w:val="0"/>
                <w:color w:val="000000"/>
                <w:kern w:val="0"/>
                <w:sz w:val="21"/>
                <w:szCs w:val="21"/>
                <w:lang w:eastAsia="en-US"/>
              </w:rPr>
            </w:pPr>
          </w:p>
          <w:p w14:paraId="1737764A">
            <w:pPr>
              <w:kinsoku w:val="0"/>
              <w:autoSpaceDE w:val="0"/>
              <w:autoSpaceDN w:val="0"/>
              <w:adjustRightInd w:val="0"/>
              <w:snapToGrid w:val="0"/>
              <w:spacing w:before="62" w:line="219" w:lineRule="auto"/>
              <w:ind w:left="1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会议桌</w:t>
            </w:r>
          </w:p>
        </w:tc>
        <w:tc>
          <w:tcPr>
            <w:tcW w:w="1235" w:type="pct"/>
            <w:noWrap w:val="0"/>
            <w:vAlign w:val="top"/>
          </w:tcPr>
          <w:p w14:paraId="74756E22">
            <w:pPr>
              <w:widowControl/>
              <w:kinsoku w:val="0"/>
              <w:autoSpaceDE w:val="0"/>
              <w:autoSpaceDN w:val="0"/>
              <w:adjustRightInd w:val="0"/>
              <w:snapToGrid w:val="0"/>
              <w:spacing w:line="265" w:lineRule="auto"/>
              <w:jc w:val="left"/>
              <w:textAlignment w:val="baseline"/>
              <w:rPr>
                <w:rFonts w:hint="default" w:ascii="Times New Roman" w:hAnsi="Times New Roman" w:eastAsia="Arial" w:cs="Times New Roman"/>
                <w:snapToGrid w:val="0"/>
                <w:color w:val="000000"/>
                <w:kern w:val="0"/>
                <w:sz w:val="21"/>
                <w:szCs w:val="21"/>
                <w:lang w:eastAsia="en-US"/>
              </w:rPr>
            </w:pPr>
          </w:p>
          <w:p w14:paraId="3688BD03">
            <w:pPr>
              <w:widowControl/>
              <w:kinsoku w:val="0"/>
              <w:autoSpaceDE w:val="0"/>
              <w:autoSpaceDN w:val="0"/>
              <w:adjustRightInd w:val="0"/>
              <w:snapToGrid w:val="0"/>
              <w:spacing w:line="265" w:lineRule="auto"/>
              <w:jc w:val="left"/>
              <w:textAlignment w:val="baseline"/>
              <w:rPr>
                <w:rFonts w:hint="default" w:ascii="Times New Roman" w:hAnsi="Times New Roman" w:eastAsia="Arial" w:cs="Times New Roman"/>
                <w:snapToGrid w:val="0"/>
                <w:color w:val="000000"/>
                <w:kern w:val="0"/>
                <w:sz w:val="21"/>
                <w:szCs w:val="21"/>
                <w:lang w:eastAsia="en-US"/>
              </w:rPr>
            </w:pPr>
          </w:p>
          <w:p w14:paraId="0B673F35">
            <w:pPr>
              <w:widowControl/>
              <w:kinsoku w:val="0"/>
              <w:autoSpaceDE w:val="0"/>
              <w:autoSpaceDN w:val="0"/>
              <w:adjustRightInd w:val="0"/>
              <w:snapToGrid w:val="0"/>
              <w:spacing w:line="266" w:lineRule="auto"/>
              <w:jc w:val="left"/>
              <w:textAlignment w:val="baseline"/>
              <w:rPr>
                <w:rFonts w:hint="default" w:ascii="Times New Roman" w:hAnsi="Times New Roman" w:eastAsia="Arial" w:cs="Times New Roman"/>
                <w:snapToGrid w:val="0"/>
                <w:color w:val="000000"/>
                <w:kern w:val="0"/>
                <w:sz w:val="21"/>
                <w:szCs w:val="21"/>
                <w:lang w:eastAsia="en-US"/>
              </w:rPr>
            </w:pPr>
          </w:p>
          <w:p w14:paraId="2301CE2F">
            <w:pPr>
              <w:kinsoku w:val="0"/>
              <w:autoSpaceDE w:val="0"/>
              <w:autoSpaceDN w:val="0"/>
              <w:adjustRightInd w:val="0"/>
              <w:snapToGrid w:val="0"/>
              <w:spacing w:before="62" w:line="219" w:lineRule="auto"/>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0"/>
                <w:kern w:val="0"/>
                <w:sz w:val="19"/>
                <w:szCs w:val="19"/>
                <w:lang w:val="en-US" w:eastAsia="zh-CN" w:bidi="ar-SA"/>
              </w:rPr>
              <w:t>根据</w:t>
            </w:r>
            <w:r>
              <w:rPr>
                <w:rFonts w:hint="default" w:ascii="Times New Roman" w:hAnsi="Times New Roman" w:eastAsia="宋体" w:cs="Times New Roman"/>
                <w:snapToGrid w:val="0"/>
                <w:color w:val="000000"/>
                <w:spacing w:val="-10"/>
                <w:kern w:val="0"/>
                <w:sz w:val="19"/>
                <w:szCs w:val="19"/>
                <w:lang w:val="en-US" w:eastAsia="en-US" w:bidi="ar-SA"/>
              </w:rPr>
              <w:t>会议室使用面积情况配置。</w:t>
            </w:r>
          </w:p>
        </w:tc>
        <w:tc>
          <w:tcPr>
            <w:tcW w:w="1028" w:type="pct"/>
            <w:noWrap w:val="0"/>
            <w:vAlign w:val="top"/>
          </w:tcPr>
          <w:p w14:paraId="724A80E9">
            <w:pPr>
              <w:kinsoku w:val="0"/>
              <w:autoSpaceDE w:val="0"/>
              <w:autoSpaceDN w:val="0"/>
              <w:adjustRightInd w:val="0"/>
              <w:snapToGrid w:val="0"/>
              <w:spacing w:before="93" w:line="303" w:lineRule="auto"/>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会议室使用面积在50</w:t>
            </w:r>
            <w:r>
              <w:rPr>
                <w:rFonts w:hint="default" w:ascii="Times New Roman" w:hAnsi="Times New Roman" w:eastAsia="宋体" w:cs="Times New Roman"/>
                <w:snapToGrid w:val="0"/>
                <w:color w:val="000000"/>
                <w:spacing w:val="2"/>
                <w:kern w:val="0"/>
                <w:sz w:val="19"/>
                <w:szCs w:val="19"/>
                <w:lang w:val="en-US" w:eastAsia="zh-CN" w:bidi="ar-SA"/>
              </w:rPr>
              <w:t>（</w:t>
            </w:r>
            <w:r>
              <w:rPr>
                <w:rFonts w:hint="default" w:ascii="Times New Roman" w:hAnsi="Times New Roman" w:eastAsia="宋体" w:cs="Times New Roman"/>
                <w:snapToGrid w:val="0"/>
                <w:color w:val="000000"/>
                <w:spacing w:val="2"/>
                <w:kern w:val="0"/>
                <w:sz w:val="19"/>
                <w:szCs w:val="19"/>
                <w:lang w:val="en-US" w:eastAsia="en-US" w:bidi="ar-SA"/>
              </w:rPr>
              <w:t>含</w:t>
            </w:r>
            <w:r>
              <w:rPr>
                <w:rFonts w:hint="default" w:ascii="Times New Roman" w:hAnsi="Times New Roman" w:eastAsia="宋体" w:cs="Times New Roman"/>
                <w:snapToGrid w:val="0"/>
                <w:color w:val="000000"/>
                <w:spacing w:val="2"/>
                <w:kern w:val="0"/>
                <w:sz w:val="19"/>
                <w:szCs w:val="19"/>
                <w:lang w:val="en-US" w:eastAsia="zh-CN" w:bidi="ar-SA"/>
              </w:rPr>
              <w:t>）</w:t>
            </w:r>
            <w:r>
              <w:rPr>
                <w:rFonts w:hint="default" w:ascii="Times New Roman" w:hAnsi="Times New Roman" w:eastAsia="宋体" w:cs="Times New Roman"/>
                <w:snapToGrid w:val="0"/>
                <w:color w:val="000000"/>
                <w:spacing w:val="-7"/>
                <w:kern w:val="0"/>
                <w:sz w:val="19"/>
                <w:szCs w:val="19"/>
                <w:lang w:val="en-US" w:eastAsia="en-US" w:bidi="ar-SA"/>
              </w:rPr>
              <w:t>平方米以下：1</w:t>
            </w:r>
            <w:r>
              <w:rPr>
                <w:rFonts w:hint="default" w:ascii="Times New Roman" w:hAnsi="Times New Roman" w:eastAsia="宋体" w:cs="Times New Roman"/>
                <w:snapToGrid w:val="0"/>
                <w:color w:val="000000"/>
                <w:spacing w:val="-7"/>
                <w:kern w:val="0"/>
                <w:sz w:val="19"/>
                <w:szCs w:val="19"/>
                <w:lang w:val="en-US" w:eastAsia="zh-CN" w:bidi="ar-SA"/>
              </w:rPr>
              <w:t>,</w:t>
            </w:r>
            <w:r>
              <w:rPr>
                <w:rFonts w:hint="default" w:ascii="Times New Roman" w:hAnsi="Times New Roman" w:eastAsia="宋体" w:cs="Times New Roman"/>
                <w:snapToGrid w:val="0"/>
                <w:color w:val="000000"/>
                <w:spacing w:val="-7"/>
                <w:kern w:val="0"/>
                <w:sz w:val="19"/>
                <w:szCs w:val="19"/>
                <w:lang w:val="en-US" w:eastAsia="en-US" w:bidi="ar-SA"/>
              </w:rPr>
              <w:t>600元</w:t>
            </w:r>
            <w:r>
              <w:rPr>
                <w:rFonts w:hint="default" w:ascii="Times New Roman" w:hAnsi="Times New Roman" w:eastAsia="宋体" w:cs="Times New Roman"/>
                <w:snapToGrid w:val="0"/>
                <w:color w:val="000000"/>
                <w:spacing w:val="-7"/>
                <w:kern w:val="0"/>
                <w:sz w:val="19"/>
                <w:szCs w:val="19"/>
                <w:lang w:val="en-US" w:eastAsia="zh-CN" w:bidi="ar-SA"/>
              </w:rPr>
              <w:t>／平方米</w:t>
            </w:r>
            <w:r>
              <w:rPr>
                <w:rFonts w:hint="default" w:ascii="Times New Roman" w:hAnsi="Times New Roman" w:eastAsia="宋体" w:cs="Times New Roman"/>
                <w:snapToGrid w:val="0"/>
                <w:color w:val="000000"/>
                <w:spacing w:val="-1"/>
                <w:kern w:val="0"/>
                <w:sz w:val="19"/>
                <w:szCs w:val="19"/>
                <w:lang w:val="en-US" w:eastAsia="en-US" w:bidi="ar-SA"/>
              </w:rPr>
              <w:t>；50</w:t>
            </w:r>
            <w:r>
              <w:rPr>
                <w:rFonts w:hint="default" w:ascii="Times New Roman" w:hAnsi="Times New Roman" w:eastAsia="宋体" w:cs="Times New Roman"/>
                <w:snapToGrid w:val="0"/>
                <w:color w:val="000000"/>
                <w:spacing w:val="-1"/>
                <w:kern w:val="0"/>
                <w:sz w:val="19"/>
                <w:szCs w:val="19"/>
                <w:lang w:val="en-US" w:eastAsia="zh-CN" w:bidi="ar-SA"/>
              </w:rPr>
              <w:t>－</w:t>
            </w:r>
            <w:r>
              <w:rPr>
                <w:rFonts w:hint="default" w:ascii="Times New Roman" w:hAnsi="Times New Roman" w:eastAsia="宋体" w:cs="Times New Roman"/>
                <w:snapToGrid w:val="0"/>
                <w:color w:val="000000"/>
                <w:spacing w:val="-1"/>
                <w:kern w:val="0"/>
                <w:sz w:val="19"/>
                <w:szCs w:val="19"/>
                <w:lang w:val="en-US" w:eastAsia="en-US" w:bidi="ar-SA"/>
              </w:rPr>
              <w:t>100</w:t>
            </w:r>
            <w:r>
              <w:rPr>
                <w:rFonts w:hint="default" w:ascii="Times New Roman" w:hAnsi="Times New Roman" w:eastAsia="宋体" w:cs="Times New Roman"/>
                <w:snapToGrid w:val="0"/>
                <w:color w:val="000000"/>
                <w:spacing w:val="-1"/>
                <w:kern w:val="0"/>
                <w:sz w:val="19"/>
                <w:szCs w:val="19"/>
                <w:lang w:val="en-US" w:eastAsia="zh-CN" w:bidi="ar-SA"/>
              </w:rPr>
              <w:t>（</w:t>
            </w:r>
            <w:r>
              <w:rPr>
                <w:rFonts w:hint="default" w:ascii="Times New Roman" w:hAnsi="Times New Roman" w:eastAsia="宋体" w:cs="Times New Roman"/>
                <w:snapToGrid w:val="0"/>
                <w:color w:val="000000"/>
                <w:spacing w:val="-1"/>
                <w:kern w:val="0"/>
                <w:sz w:val="19"/>
                <w:szCs w:val="19"/>
                <w:lang w:val="en-US" w:eastAsia="en-US" w:bidi="ar-SA"/>
              </w:rPr>
              <w:t>含</w:t>
            </w:r>
            <w:r>
              <w:rPr>
                <w:rFonts w:hint="default" w:ascii="Times New Roman" w:hAnsi="Times New Roman" w:eastAsia="宋体" w:cs="Times New Roman"/>
                <w:snapToGrid w:val="0"/>
                <w:color w:val="000000"/>
                <w:spacing w:val="-1"/>
                <w:kern w:val="0"/>
                <w:sz w:val="19"/>
                <w:szCs w:val="19"/>
                <w:lang w:val="en-US" w:eastAsia="zh-CN" w:bidi="ar-SA"/>
              </w:rPr>
              <w:t>）</w:t>
            </w:r>
            <w:r>
              <w:rPr>
                <w:rFonts w:hint="default" w:ascii="Times New Roman" w:hAnsi="Times New Roman" w:eastAsia="宋体" w:cs="Times New Roman"/>
                <w:snapToGrid w:val="0"/>
                <w:color w:val="000000"/>
                <w:spacing w:val="-1"/>
                <w:kern w:val="0"/>
                <w:sz w:val="19"/>
                <w:szCs w:val="19"/>
                <w:lang w:val="en-US" w:eastAsia="en-US" w:bidi="ar-SA"/>
              </w:rPr>
              <w:t>平方米：</w:t>
            </w:r>
          </w:p>
          <w:p w14:paraId="631C2298">
            <w:pPr>
              <w:kinsoku w:val="0"/>
              <w:autoSpaceDE w:val="0"/>
              <w:autoSpaceDN w:val="0"/>
              <w:adjustRightInd w:val="0"/>
              <w:snapToGrid w:val="0"/>
              <w:spacing w:before="3" w:line="216" w:lineRule="auto"/>
              <w:ind w:left="15"/>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8"/>
                <w:kern w:val="0"/>
                <w:sz w:val="19"/>
                <w:szCs w:val="19"/>
                <w:lang w:val="en-US" w:eastAsia="zh-CN" w:bidi="ar-SA"/>
              </w:rPr>
              <w:t>1</w:t>
            </w:r>
            <w:r>
              <w:rPr>
                <w:rFonts w:eastAsia="仿宋_GB2312"/>
                <w:kern w:val="0"/>
                <w:szCs w:val="21"/>
              </w:rPr>
              <w:t>,</w:t>
            </w:r>
            <w:r>
              <w:rPr>
                <w:rFonts w:hint="default" w:ascii="Times New Roman" w:hAnsi="Times New Roman" w:eastAsia="宋体" w:cs="Times New Roman"/>
                <w:snapToGrid w:val="0"/>
                <w:color w:val="000000"/>
                <w:spacing w:val="8"/>
                <w:kern w:val="0"/>
                <w:sz w:val="19"/>
                <w:szCs w:val="19"/>
                <w:lang w:val="en-US" w:eastAsia="zh-CN" w:bidi="ar-SA"/>
              </w:rPr>
              <w:t>1</w:t>
            </w:r>
            <w:r>
              <w:rPr>
                <w:rFonts w:hint="default" w:ascii="Times New Roman" w:hAnsi="Times New Roman" w:eastAsia="宋体" w:cs="Times New Roman"/>
                <w:snapToGrid w:val="0"/>
                <w:color w:val="000000"/>
                <w:spacing w:val="8"/>
                <w:kern w:val="0"/>
                <w:sz w:val="19"/>
                <w:szCs w:val="19"/>
                <w:lang w:val="en-US" w:eastAsia="en-US" w:bidi="ar-SA"/>
              </w:rPr>
              <w:t>00元</w:t>
            </w:r>
            <w:r>
              <w:rPr>
                <w:rFonts w:hint="default" w:ascii="Times New Roman" w:hAnsi="Times New Roman" w:eastAsia="宋体" w:cs="Times New Roman"/>
                <w:snapToGrid w:val="0"/>
                <w:color w:val="000000"/>
                <w:spacing w:val="8"/>
                <w:kern w:val="0"/>
                <w:sz w:val="19"/>
                <w:szCs w:val="19"/>
                <w:lang w:val="en-US" w:eastAsia="zh-CN" w:bidi="ar-SA"/>
              </w:rPr>
              <w:t>／</w:t>
            </w:r>
            <w:r>
              <w:rPr>
                <w:rFonts w:hint="default" w:ascii="Times New Roman" w:hAnsi="Times New Roman" w:eastAsia="宋体" w:cs="Times New Roman"/>
                <w:snapToGrid w:val="0"/>
                <w:color w:val="000000"/>
                <w:spacing w:val="8"/>
                <w:kern w:val="0"/>
                <w:sz w:val="19"/>
                <w:szCs w:val="19"/>
                <w:lang w:val="en-US" w:eastAsia="en-US" w:bidi="ar-SA"/>
              </w:rPr>
              <w:t>平方米；</w:t>
            </w:r>
          </w:p>
          <w:p w14:paraId="542353E3">
            <w:pPr>
              <w:kinsoku w:val="0"/>
              <w:autoSpaceDE w:val="0"/>
              <w:autoSpaceDN w:val="0"/>
              <w:adjustRightInd w:val="0"/>
              <w:snapToGrid w:val="0"/>
              <w:spacing w:before="86" w:line="265" w:lineRule="auto"/>
              <w:ind w:left="15" w:right="4" w:hanging="10"/>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kern w:val="0"/>
                <w:sz w:val="19"/>
                <w:szCs w:val="19"/>
                <w:lang w:val="en-US" w:eastAsia="en-US" w:bidi="ar-SA"/>
              </w:rPr>
              <w:t>100平方米以上：1</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kern w:val="0"/>
                <w:sz w:val="19"/>
                <w:szCs w:val="19"/>
                <w:lang w:val="en-US" w:eastAsia="en-US" w:bidi="ar-SA"/>
              </w:rPr>
              <w:t>000元</w:t>
            </w:r>
            <w:r>
              <w:rPr>
                <w:rFonts w:hint="default" w:ascii="Times New Roman" w:hAnsi="Times New Roman" w:eastAsia="宋体" w:cs="Times New Roman"/>
                <w:snapToGrid w:val="0"/>
                <w:color w:val="000000"/>
                <w:kern w:val="0"/>
                <w:sz w:val="19"/>
                <w:szCs w:val="19"/>
                <w:lang w:val="en-US" w:eastAsia="zh-CN" w:bidi="ar-SA"/>
              </w:rPr>
              <w:t>／</w:t>
            </w:r>
            <w:r>
              <w:rPr>
                <w:rFonts w:hint="default" w:ascii="Times New Roman" w:hAnsi="Times New Roman" w:eastAsia="宋体" w:cs="Times New Roman"/>
                <w:snapToGrid w:val="0"/>
                <w:color w:val="000000"/>
                <w:spacing w:val="-1"/>
                <w:kern w:val="0"/>
                <w:sz w:val="19"/>
                <w:szCs w:val="19"/>
                <w:lang w:val="en-US" w:eastAsia="en-US" w:bidi="ar-SA"/>
              </w:rPr>
              <w:t>平方米。</w:t>
            </w:r>
          </w:p>
        </w:tc>
        <w:tc>
          <w:tcPr>
            <w:tcW w:w="624" w:type="pct"/>
            <w:noWrap w:val="0"/>
            <w:vAlign w:val="top"/>
          </w:tcPr>
          <w:p w14:paraId="34FF03B7">
            <w:pPr>
              <w:widowControl/>
              <w:kinsoku w:val="0"/>
              <w:autoSpaceDE w:val="0"/>
              <w:autoSpaceDN w:val="0"/>
              <w:adjustRightInd w:val="0"/>
              <w:snapToGrid w:val="0"/>
              <w:spacing w:line="272" w:lineRule="auto"/>
              <w:jc w:val="left"/>
              <w:textAlignment w:val="baseline"/>
              <w:rPr>
                <w:rFonts w:hint="default" w:ascii="Times New Roman" w:hAnsi="Times New Roman" w:eastAsia="Arial" w:cs="Times New Roman"/>
                <w:snapToGrid w:val="0"/>
                <w:color w:val="000000"/>
                <w:kern w:val="0"/>
                <w:sz w:val="21"/>
                <w:szCs w:val="21"/>
                <w:lang w:eastAsia="en-US"/>
              </w:rPr>
            </w:pPr>
          </w:p>
          <w:p w14:paraId="330571CE">
            <w:pPr>
              <w:widowControl/>
              <w:kinsoku w:val="0"/>
              <w:autoSpaceDE w:val="0"/>
              <w:autoSpaceDN w:val="0"/>
              <w:adjustRightInd w:val="0"/>
              <w:snapToGrid w:val="0"/>
              <w:spacing w:line="272" w:lineRule="auto"/>
              <w:jc w:val="left"/>
              <w:textAlignment w:val="baseline"/>
              <w:rPr>
                <w:rFonts w:hint="default" w:ascii="Times New Roman" w:hAnsi="Times New Roman" w:eastAsia="Arial" w:cs="Times New Roman"/>
                <w:snapToGrid w:val="0"/>
                <w:color w:val="000000"/>
                <w:kern w:val="0"/>
                <w:sz w:val="21"/>
                <w:szCs w:val="21"/>
                <w:lang w:eastAsia="en-US"/>
              </w:rPr>
            </w:pPr>
          </w:p>
          <w:p w14:paraId="75FB12D4">
            <w:pPr>
              <w:widowControl/>
              <w:kinsoku w:val="0"/>
              <w:autoSpaceDE w:val="0"/>
              <w:autoSpaceDN w:val="0"/>
              <w:adjustRightInd w:val="0"/>
              <w:snapToGrid w:val="0"/>
              <w:spacing w:line="272" w:lineRule="auto"/>
              <w:jc w:val="left"/>
              <w:textAlignment w:val="baseline"/>
              <w:rPr>
                <w:rFonts w:hint="default" w:ascii="Times New Roman" w:hAnsi="Times New Roman" w:eastAsia="Arial" w:cs="Times New Roman"/>
                <w:snapToGrid w:val="0"/>
                <w:color w:val="000000"/>
                <w:kern w:val="0"/>
                <w:sz w:val="21"/>
                <w:szCs w:val="21"/>
                <w:lang w:eastAsia="en-US"/>
              </w:rPr>
            </w:pPr>
          </w:p>
          <w:p w14:paraId="6A0E76CC">
            <w:pPr>
              <w:kinsoku w:val="0"/>
              <w:autoSpaceDE w:val="0"/>
              <w:autoSpaceDN w:val="0"/>
              <w:adjustRightInd w:val="0"/>
              <w:snapToGrid w:val="0"/>
              <w:spacing w:before="62" w:line="240" w:lineRule="auto"/>
              <w:ind w:left="42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15</w:t>
            </w:r>
          </w:p>
        </w:tc>
        <w:tc>
          <w:tcPr>
            <w:tcW w:w="661" w:type="pct"/>
            <w:vMerge w:val="continue"/>
            <w:tcBorders>
              <w:top w:val="nil"/>
              <w:bottom w:val="nil"/>
            </w:tcBorders>
            <w:noWrap w:val="0"/>
            <w:vAlign w:val="top"/>
          </w:tcPr>
          <w:p w14:paraId="4FFEF2EF">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r w14:paraId="70DF9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46" w:type="pct"/>
            <w:vMerge w:val="continue"/>
            <w:tcBorders>
              <w:top w:val="nil"/>
            </w:tcBorders>
            <w:noWrap w:val="0"/>
            <w:vAlign w:val="top"/>
          </w:tcPr>
          <w:p w14:paraId="26A77867">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c>
          <w:tcPr>
            <w:tcW w:w="602" w:type="pct"/>
            <w:noWrap w:val="0"/>
            <w:vAlign w:val="top"/>
          </w:tcPr>
          <w:p w14:paraId="0C9641F9">
            <w:pPr>
              <w:kinsoku w:val="0"/>
              <w:autoSpaceDE w:val="0"/>
              <w:autoSpaceDN w:val="0"/>
              <w:adjustRightInd w:val="0"/>
              <w:snapToGrid w:val="0"/>
              <w:spacing w:before="196" w:line="219" w:lineRule="auto"/>
              <w:ind w:left="12"/>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会议椅</w:t>
            </w:r>
          </w:p>
        </w:tc>
        <w:tc>
          <w:tcPr>
            <w:tcW w:w="1235" w:type="pct"/>
            <w:noWrap w:val="0"/>
            <w:vAlign w:val="top"/>
          </w:tcPr>
          <w:p w14:paraId="748F2C4D">
            <w:pPr>
              <w:kinsoku w:val="0"/>
              <w:autoSpaceDE w:val="0"/>
              <w:autoSpaceDN w:val="0"/>
              <w:adjustRightInd w:val="0"/>
              <w:snapToGrid w:val="0"/>
              <w:spacing w:before="196" w:line="219" w:lineRule="auto"/>
              <w:jc w:val="both"/>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10"/>
                <w:kern w:val="0"/>
                <w:sz w:val="19"/>
                <w:szCs w:val="19"/>
                <w:lang w:val="en-US" w:eastAsia="en-US" w:bidi="ar-SA"/>
              </w:rPr>
              <w:t>视会议室使用面积情况配置。</w:t>
            </w:r>
          </w:p>
        </w:tc>
        <w:tc>
          <w:tcPr>
            <w:tcW w:w="1028" w:type="pct"/>
            <w:noWrap w:val="0"/>
            <w:vAlign w:val="top"/>
          </w:tcPr>
          <w:p w14:paraId="048E567B">
            <w:pPr>
              <w:kinsoku w:val="0"/>
              <w:autoSpaceDE w:val="0"/>
              <w:autoSpaceDN w:val="0"/>
              <w:adjustRightInd w:val="0"/>
              <w:snapToGrid w:val="0"/>
              <w:spacing w:before="198" w:line="220" w:lineRule="auto"/>
              <w:ind w:left="716"/>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2"/>
                <w:kern w:val="0"/>
                <w:sz w:val="19"/>
                <w:szCs w:val="19"/>
                <w:lang w:val="en-US" w:eastAsia="en-US" w:bidi="ar-SA"/>
              </w:rPr>
              <w:t>800元</w:t>
            </w:r>
            <w:r>
              <w:rPr>
                <w:rFonts w:hint="default" w:ascii="Times New Roman" w:hAnsi="Times New Roman" w:eastAsia="宋体" w:cs="Times New Roman"/>
                <w:snapToGrid w:val="0"/>
                <w:color w:val="000000"/>
                <w:spacing w:val="-2"/>
                <w:kern w:val="0"/>
                <w:sz w:val="19"/>
                <w:szCs w:val="19"/>
                <w:lang w:val="en-US" w:eastAsia="zh-CN" w:bidi="ar-SA"/>
              </w:rPr>
              <w:t>／</w:t>
            </w:r>
            <w:r>
              <w:rPr>
                <w:rFonts w:hint="default" w:ascii="Times New Roman" w:hAnsi="Times New Roman" w:eastAsia="宋体" w:cs="Times New Roman"/>
                <w:snapToGrid w:val="0"/>
                <w:color w:val="000000"/>
                <w:spacing w:val="-2"/>
                <w:kern w:val="0"/>
                <w:sz w:val="19"/>
                <w:szCs w:val="19"/>
                <w:lang w:val="en-US" w:eastAsia="en-US" w:bidi="ar-SA"/>
              </w:rPr>
              <w:t>把</w:t>
            </w:r>
          </w:p>
        </w:tc>
        <w:tc>
          <w:tcPr>
            <w:tcW w:w="624" w:type="pct"/>
            <w:noWrap w:val="0"/>
            <w:vAlign w:val="top"/>
          </w:tcPr>
          <w:p w14:paraId="67368869">
            <w:pPr>
              <w:kinsoku w:val="0"/>
              <w:autoSpaceDE w:val="0"/>
              <w:autoSpaceDN w:val="0"/>
              <w:adjustRightInd w:val="0"/>
              <w:snapToGrid w:val="0"/>
              <w:spacing w:before="216" w:line="240" w:lineRule="auto"/>
              <w:ind w:left="428"/>
              <w:jc w:val="left"/>
              <w:textAlignment w:val="baseline"/>
              <w:rPr>
                <w:rFonts w:hint="default" w:ascii="Times New Roman" w:hAnsi="Times New Roman" w:eastAsia="宋体" w:cs="Times New Roman"/>
                <w:snapToGrid w:val="0"/>
                <w:color w:val="000000"/>
                <w:kern w:val="0"/>
                <w:sz w:val="19"/>
                <w:szCs w:val="19"/>
                <w:lang w:val="en-US" w:eastAsia="en-US" w:bidi="ar-SA"/>
              </w:rPr>
            </w:pPr>
            <w:r>
              <w:rPr>
                <w:rFonts w:hint="default" w:ascii="Times New Roman" w:hAnsi="Times New Roman" w:eastAsia="宋体" w:cs="Times New Roman"/>
                <w:snapToGrid w:val="0"/>
                <w:color w:val="000000"/>
                <w:spacing w:val="-6"/>
                <w:kern w:val="0"/>
                <w:sz w:val="19"/>
                <w:szCs w:val="19"/>
                <w:lang w:val="en-US" w:eastAsia="en-US" w:bidi="ar-SA"/>
              </w:rPr>
              <w:t>15</w:t>
            </w:r>
          </w:p>
        </w:tc>
        <w:tc>
          <w:tcPr>
            <w:tcW w:w="661" w:type="pct"/>
            <w:vMerge w:val="continue"/>
            <w:tcBorders>
              <w:top w:val="nil"/>
            </w:tcBorders>
            <w:noWrap w:val="0"/>
            <w:vAlign w:val="top"/>
          </w:tcPr>
          <w:p w14:paraId="4B5A57BF">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tc>
      </w:tr>
    </w:tbl>
    <w:p w14:paraId="30AC84AD">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p w14:paraId="6BF8E177">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p w14:paraId="61FAD224">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1"/>
          <w:szCs w:val="21"/>
          <w:lang w:eastAsia="en-US"/>
        </w:rPr>
      </w:pPr>
    </w:p>
    <w:p w14:paraId="058799C7">
      <w:pPr>
        <w:rPr>
          <w:rFonts w:hint="default" w:ascii="Times New Roman" w:hAnsi="Times New Roman" w:cs="Times New Roman"/>
          <w:sz w:val="21"/>
        </w:rPr>
        <w:sectPr>
          <w:pgSz w:w="11916" w:h="16848"/>
          <w:pgMar w:top="2098" w:right="1474" w:bottom="1984" w:left="1587" w:header="851" w:footer="1417" w:gutter="0"/>
          <w:pgBorders>
            <w:top w:val="none" w:sz="0" w:space="0"/>
            <w:left w:val="none" w:sz="0" w:space="0"/>
            <w:bottom w:val="none" w:sz="0" w:space="0"/>
            <w:right w:val="none" w:sz="0" w:space="0"/>
          </w:pgBorders>
          <w:pgNumType w:fmt="decimal" w:start="1"/>
          <w:cols w:space="720" w:num="1"/>
        </w:sectPr>
      </w:pPr>
    </w:p>
    <w:p w14:paraId="05E05F2B">
      <w:pPr>
        <w:widowControl/>
        <w:overflowPunct w:val="0"/>
        <w:topLinePunct/>
        <w:spacing w:line="560" w:lineRule="exact"/>
        <w:jc w:val="left"/>
        <w:outlineLvl w:val="0"/>
        <w:rPr>
          <w:rFonts w:hint="default" w:ascii="Times New Roman" w:hAnsi="Times New Roman" w:eastAsia="黑体" w:cs="Times New Roman"/>
          <w:sz w:val="32"/>
          <w:szCs w:val="32"/>
        </w:rPr>
      </w:pPr>
    </w:p>
    <w:p w14:paraId="14FA1C89">
      <w:pPr>
        <w:widowControl/>
        <w:overflowPunct w:val="0"/>
        <w:topLinePunct/>
        <w:spacing w:line="560" w:lineRule="exact"/>
        <w:jc w:val="left"/>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3</w:t>
      </w:r>
    </w:p>
    <w:p w14:paraId="2980A09F">
      <w:pPr>
        <w:widowControl w:val="0"/>
        <w:bidi w:val="0"/>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p>
    <w:p w14:paraId="095E75B1">
      <w:pPr>
        <w:widowControl/>
        <w:spacing w:line="720" w:lineRule="exact"/>
        <w:jc w:val="center"/>
        <w:outlineLvl w:val="9"/>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灌云县行政事业性国有资产处置管理办法</w:t>
      </w:r>
    </w:p>
    <w:p w14:paraId="388DD15C">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640" w:firstLineChars="200"/>
        <w:jc w:val="center"/>
        <w:textAlignment w:val="baseline"/>
        <w:rPr>
          <w:rFonts w:hint="default" w:ascii="Times New Roman" w:hAnsi="Times New Roman" w:eastAsia="楷体" w:cs="Times New Roman"/>
          <w:color w:val="auto"/>
          <w:sz w:val="32"/>
          <w:szCs w:val="32"/>
        </w:rPr>
      </w:pPr>
    </w:p>
    <w:p w14:paraId="7F28DECB">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640" w:firstLineChars="200"/>
        <w:jc w:val="center"/>
        <w:textAlignment w:val="baseline"/>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w:t>
      </w:r>
      <w:r>
        <w:rPr>
          <w:rFonts w:hint="default" w:ascii="Times New Roman" w:hAnsi="Times New Roman" w:eastAsia="楷体" w:cs="Times New Roman"/>
          <w:color w:val="auto"/>
          <w:sz w:val="32"/>
          <w:szCs w:val="32"/>
          <w:lang w:val="en-US" w:eastAsia="zh-CN"/>
        </w:rPr>
        <w:t>征求意见稿</w:t>
      </w:r>
      <w:r>
        <w:rPr>
          <w:rFonts w:hint="default" w:ascii="Times New Roman" w:hAnsi="Times New Roman" w:eastAsia="楷体" w:cs="Times New Roman"/>
          <w:color w:val="auto"/>
          <w:sz w:val="32"/>
          <w:szCs w:val="32"/>
        </w:rPr>
        <w:t>）</w:t>
      </w:r>
    </w:p>
    <w:p w14:paraId="489C9274">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640" w:firstLineChars="200"/>
        <w:jc w:val="center"/>
        <w:textAlignment w:val="baseline"/>
        <w:rPr>
          <w:rFonts w:hint="default" w:ascii="Times New Roman" w:hAnsi="Times New Roman" w:eastAsia="楷体" w:cs="Times New Roman"/>
          <w:color w:val="auto"/>
          <w:sz w:val="32"/>
          <w:szCs w:val="32"/>
        </w:rPr>
      </w:pPr>
    </w:p>
    <w:p w14:paraId="35C2A9EB">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第一章  总  则</w:t>
      </w:r>
    </w:p>
    <w:p w14:paraId="7D28B88E">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026873C0">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第一条 </w:t>
      </w:r>
      <w:r>
        <w:rPr>
          <w:rFonts w:hint="default" w:ascii="Times New Roman" w:hAnsi="Times New Roman" w:eastAsia="仿宋_GB2312" w:cs="Times New Roman"/>
          <w:color w:val="auto"/>
          <w:spacing w:val="-6"/>
          <w:kern w:val="2"/>
          <w:sz w:val="32"/>
          <w:szCs w:val="32"/>
          <w:lang w:val="en-US" w:eastAsia="zh-CN" w:bidi="ar-SA"/>
        </w:rPr>
        <w:t xml:space="preserve"> 为加强行政事业性国有资产处置管理，落实国有资产安全完整、保值增值的管理目标，根据《中华人民共和国预算法》《党政机关厉行节约反对浪费条例》《行政事业性国有资产管理条例》《江苏省行政事业性国有资产管理办法》等法律法规和制度规定，结合我县实际情况，制定本办法。</w:t>
      </w:r>
    </w:p>
    <w:p w14:paraId="75E394FC">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第二条</w:t>
      </w:r>
      <w:r>
        <w:rPr>
          <w:rFonts w:hint="default" w:ascii="Times New Roman" w:hAnsi="Times New Roman" w:eastAsia="仿宋_GB2312" w:cs="Times New Roman"/>
          <w:color w:val="auto"/>
          <w:spacing w:val="-6"/>
          <w:kern w:val="2"/>
          <w:sz w:val="32"/>
          <w:szCs w:val="32"/>
          <w:lang w:val="en-US" w:eastAsia="zh-CN" w:bidi="ar-SA"/>
        </w:rPr>
        <w:t xml:space="preserve">  本办法适用于行政事业单位。除特别说明外，参照公务员法管理的事业单位按照行政单位相关规定执行。</w:t>
      </w:r>
    </w:p>
    <w:p w14:paraId="2679CD7D">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第三条</w:t>
      </w:r>
      <w:r>
        <w:rPr>
          <w:rFonts w:hint="default" w:ascii="Times New Roman" w:hAnsi="Times New Roman" w:eastAsia="仿宋_GB2312" w:cs="Times New Roman"/>
          <w:color w:val="auto"/>
          <w:spacing w:val="-6"/>
          <w:kern w:val="2"/>
          <w:sz w:val="32"/>
          <w:szCs w:val="32"/>
          <w:lang w:val="en-US" w:eastAsia="zh-CN" w:bidi="ar-SA"/>
        </w:rPr>
        <w:t xml:space="preserve">  本办法所称国有资产处置是指我县行政事业单位对其占有、使用的国有资产进行产权转移或核销的行为。行政事业单位国有资产处置方式包括无偿划转、对外捐赠、转让、置换、报废、损失核销等。</w:t>
      </w:r>
    </w:p>
    <w:p w14:paraId="091D2675">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第四条 </w:t>
      </w:r>
      <w:r>
        <w:rPr>
          <w:rFonts w:hint="default" w:ascii="Times New Roman" w:hAnsi="Times New Roman" w:eastAsia="仿宋_GB2312" w:cs="Times New Roman"/>
          <w:color w:val="auto"/>
          <w:spacing w:val="-6"/>
          <w:kern w:val="2"/>
          <w:sz w:val="32"/>
          <w:szCs w:val="32"/>
          <w:lang w:val="en-US" w:eastAsia="zh-CN" w:bidi="ar-SA"/>
        </w:rPr>
        <w:t xml:space="preserve"> 符合下列情形的行政事业性国有资产应当予以处置：</w:t>
      </w:r>
    </w:p>
    <w:p w14:paraId="79D6138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（一）因技术原因确需淘汰或者无法维修、无维修价值的；</w:t>
      </w:r>
    </w:p>
    <w:p w14:paraId="24D74B3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（二）涉及盘亏等非正常损失的；</w:t>
      </w:r>
    </w:p>
    <w:p w14:paraId="2D39080C">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（三）无法满足现有工作需要的；</w:t>
      </w:r>
    </w:p>
    <w:p w14:paraId="48561B0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（四）因单位分立、合并、改制、撤销、隶属关系改变或者部分职能、业务调整等需移交的；</w:t>
      </w:r>
    </w:p>
    <w:p w14:paraId="7029175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（五）因自然灾害等不可抗力造成毁损、灭失的；</w:t>
      </w:r>
    </w:p>
    <w:p w14:paraId="28C9258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（六）发生产权变动的；</w:t>
      </w:r>
    </w:p>
    <w:p w14:paraId="77A78480">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（七）长期低效运转、闲置、未经批准超标准配置的；</w:t>
      </w:r>
    </w:p>
    <w:p w14:paraId="30DA393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（八）依照国家和省有关规定需要处置的其他情形。</w:t>
      </w:r>
    </w:p>
    <w:p w14:paraId="16BD72DB">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第五条</w:t>
      </w:r>
      <w:r>
        <w:rPr>
          <w:rFonts w:hint="default" w:ascii="Times New Roman" w:hAnsi="Times New Roman" w:eastAsia="仿宋_GB2312" w:cs="Times New Roman"/>
          <w:b/>
          <w:color w:val="auto"/>
          <w:spacing w:val="-6"/>
          <w:kern w:val="2"/>
          <w:sz w:val="32"/>
          <w:szCs w:val="32"/>
          <w:highlight w:val="none"/>
          <w:lang w:val="en-US" w:eastAsia="zh-CN" w:bidi="ar-SA"/>
        </w:rPr>
        <w:t xml:space="preserve"> </w:t>
      </w:r>
      <w:r>
        <w:rPr>
          <w:rFonts w:hint="default" w:ascii="Times New Roman" w:hAnsi="Times New Roman" w:eastAsia="仿宋_GB2312" w:cs="Times New Roman"/>
          <w:color w:val="auto"/>
          <w:spacing w:val="-6"/>
          <w:kern w:val="2"/>
          <w:sz w:val="32"/>
          <w:szCs w:val="32"/>
          <w:highlight w:val="none"/>
          <w:lang w:val="en-US" w:eastAsia="zh-CN" w:bidi="ar-SA"/>
        </w:rPr>
        <w:t xml:space="preserve"> 行政事业单位处置国有资产应当遵循公开、公平、公正和竞争择优的原则，同时要落实对占有、使用国有资产的管理主体责任，按照规定权限经集体决策和履行审批手续后，根据处置事项批复等文件及时处置相关资产，未经批准不得擅自处置。拟处置的国有资产权属应当清晰，取得或者形成的方式应当合法合规，权属关系不明或者存在权属纠纷的，应当按照有关规定界定权属后予以处置。行政事业性国有资产处置情况应当在行政事业性国有资产管理情况年度报告中予以反映。</w:t>
      </w:r>
    </w:p>
    <w:p w14:paraId="2E4CEFBA">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第六条</w:t>
      </w:r>
      <w:r>
        <w:rPr>
          <w:rFonts w:hint="default" w:ascii="Times New Roman" w:hAnsi="Times New Roman" w:eastAsia="仿宋_GB2312" w:cs="Times New Roman"/>
          <w:color w:val="auto"/>
          <w:spacing w:val="-6"/>
          <w:kern w:val="2"/>
          <w:sz w:val="32"/>
          <w:szCs w:val="32"/>
          <w:highlight w:val="none"/>
          <w:lang w:val="en-US" w:eastAsia="zh-CN" w:bidi="ar-SA"/>
        </w:rPr>
        <w:t xml:space="preserve">  行政事业单位拟处置的国有资产权属应当清晰，取得或者形成的方式应当合法合规，权属关系不明或者存在权属纠纷的，应当按照有关规定界定权属后予以处置。被设置为担保物的国有资产处置，应当符合《中华人民共和国民法典》等法律的有关规定。</w:t>
      </w:r>
    </w:p>
    <w:p w14:paraId="58E6530D">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第七条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highlight w:val="none"/>
          <w:lang w:val="en-US" w:eastAsia="zh-CN" w:bidi="ar-SA"/>
        </w:rPr>
        <w:t xml:space="preserve"> 行政事业单位应当落实国有资产处置管理主体责任，建立健全资产管理内部控制制度，明确资产管理岗位职责，优化资产处置流程，规范资产处置行为，定期组织资产清查盘点，充分运用预算管理一体化系统推进资产管理信息化建设，及时、准确反映资产增减变动情况。</w:t>
      </w:r>
    </w:p>
    <w:p w14:paraId="771DDE97">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highlight w:val="none"/>
          <w:u w:val="none"/>
        </w:rPr>
      </w:pPr>
    </w:p>
    <w:p w14:paraId="5F07FB88">
      <w:pPr>
        <w:widowControl w:val="0"/>
        <w:spacing w:line="560" w:lineRule="exact"/>
        <w:jc w:val="center"/>
        <w:outlineLvl w:val="0"/>
        <w:rPr>
          <w:rFonts w:hint="default" w:ascii="Times New Roman" w:hAnsi="Times New Roman" w:eastAsia="黑体" w:cs="Times New Roman"/>
          <w:bCs/>
          <w:spacing w:val="-6"/>
          <w:kern w:val="44"/>
          <w:sz w:val="32"/>
          <w:szCs w:val="32"/>
          <w:highlight w:val="none"/>
          <w:u w:val="none"/>
          <w:lang w:bidi="ar-SA"/>
        </w:rPr>
      </w:pPr>
      <w:r>
        <w:rPr>
          <w:rFonts w:hint="default" w:ascii="Times New Roman" w:hAnsi="Times New Roman" w:eastAsia="黑体" w:cs="Times New Roman"/>
          <w:bCs/>
          <w:spacing w:val="-6"/>
          <w:kern w:val="44"/>
          <w:sz w:val="32"/>
          <w:szCs w:val="32"/>
          <w:highlight w:val="none"/>
          <w:u w:val="none"/>
          <w:lang w:bidi="ar-SA"/>
        </w:rPr>
        <w:t>第二章  管理权限和要求</w:t>
      </w:r>
    </w:p>
    <w:p w14:paraId="6CF7B7D5">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2" w:firstLineChars="200"/>
        <w:jc w:val="left"/>
        <w:textAlignment w:val="baseline"/>
        <w:rPr>
          <w:rFonts w:hint="default" w:ascii="Times New Roman" w:hAnsi="Times New Roman" w:eastAsia="宋体" w:cs="Times New Roman"/>
          <w:b/>
          <w:bCs/>
          <w:color w:val="auto"/>
          <w:spacing w:val="0"/>
          <w:w w:val="100"/>
          <w:kern w:val="2"/>
          <w:sz w:val="28"/>
          <w:szCs w:val="32"/>
          <w:highlight w:val="none"/>
          <w:lang w:val="en-US" w:eastAsia="zh-CN" w:bidi="ar-SA"/>
        </w:rPr>
      </w:pPr>
    </w:p>
    <w:p w14:paraId="4F5E0C63">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第八条  </w:t>
      </w:r>
      <w:r>
        <w:rPr>
          <w:rFonts w:hint="default" w:ascii="Times New Roman" w:hAnsi="Times New Roman" w:eastAsia="仿宋_GB2312" w:cs="Times New Roman"/>
          <w:color w:val="auto"/>
          <w:spacing w:val="-6"/>
          <w:kern w:val="2"/>
          <w:sz w:val="32"/>
          <w:szCs w:val="32"/>
          <w:highlight w:val="none"/>
          <w:lang w:val="en-US" w:eastAsia="zh-CN" w:bidi="ar-SA"/>
        </w:rPr>
        <w:t>县财政局作为行政事业单位国有资产处置的综合管理部门，负责监督管理行政事业单位国有资产处置工作，并按规定权限审批相关国有资产处置事项。</w:t>
      </w:r>
    </w:p>
    <w:p w14:paraId="1D7287C2">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第九条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highlight w:val="none"/>
          <w:lang w:val="en-US" w:eastAsia="zh-CN" w:bidi="ar-SA"/>
        </w:rPr>
        <w:t xml:space="preserve"> 行政事业单位下列资产处置事项，需经主管部门审核、县财政局复核后，报县政府审批：</w:t>
      </w:r>
    </w:p>
    <w:p w14:paraId="2E73573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（一）行政事业单位货币性资产损失核销；</w:t>
      </w:r>
    </w:p>
    <w:p w14:paraId="54796764">
      <w:pPr>
        <w:widowControl/>
        <w:adjustRightInd w:val="0"/>
        <w:snapToGrid w:val="0"/>
        <w:spacing w:line="560" w:lineRule="exact"/>
        <w:ind w:firstLine="648"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2"/>
          <w:kern w:val="2"/>
          <w:sz w:val="32"/>
          <w:szCs w:val="32"/>
          <w:highlight w:val="none"/>
          <w:lang w:val="en-US" w:eastAsia="zh-CN" w:bidi="ar-SA"/>
        </w:rPr>
        <w:t>（二）行政事业单位土地、房屋及构筑物处置（包括拆</w:t>
      </w:r>
      <w:r>
        <w:rPr>
          <w:rFonts w:hint="default" w:ascii="Times New Roman" w:hAnsi="Times New Roman" w:eastAsia="仿宋_GB2312" w:cs="Times New Roman"/>
          <w:color w:val="auto"/>
          <w:spacing w:val="-6"/>
          <w:kern w:val="2"/>
          <w:sz w:val="32"/>
          <w:szCs w:val="32"/>
          <w:highlight w:val="none"/>
          <w:lang w:val="en-US" w:eastAsia="zh-CN" w:bidi="ar-SA"/>
        </w:rPr>
        <w:t>除等）；</w:t>
      </w:r>
    </w:p>
    <w:p w14:paraId="1F7B90E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（三）账面价值在100万元（含100万元）以上的专项资产处置；一次性处置批量资产账面原值在100万元（含100万元）以上的；</w:t>
      </w:r>
    </w:p>
    <w:p w14:paraId="74E5FDC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（四）其他需县政府批准的资产处置事项；</w:t>
      </w:r>
    </w:p>
    <w:p w14:paraId="1D41455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（五）国有资产划转为企业经营性国有资产、对外捐赠或单项资产评估金额100万元（含100万元）以上的资产处置事项。</w:t>
      </w:r>
    </w:p>
    <w:p w14:paraId="6BF70964">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第十条</w:t>
      </w:r>
      <w:r>
        <w:rPr>
          <w:rFonts w:hint="default" w:ascii="Times New Roman" w:hAnsi="Times New Roman" w:eastAsia="仿宋_GB2312" w:cs="Times New Roman"/>
          <w:color w:val="auto"/>
          <w:spacing w:val="-6"/>
          <w:kern w:val="2"/>
          <w:sz w:val="32"/>
          <w:szCs w:val="32"/>
          <w:highlight w:val="none"/>
          <w:lang w:val="en-US" w:eastAsia="zh-CN" w:bidi="ar-SA"/>
        </w:rPr>
        <w:t xml:space="preserve">  行政事业单位下列资产处置事项由主管部门审核，报县财政局审批：</w:t>
      </w:r>
    </w:p>
    <w:p w14:paraId="341DF8B3">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（一）行政事业单位除土地、房屋及构筑物、车辆（含船舶，下同）处置，资产账面原值在30万元至100万元（不含100万元）的；</w:t>
      </w:r>
    </w:p>
    <w:p w14:paraId="65A2899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（二）行政事业单位因分立、合并、改制、撤销、隶属关系改变跨部门或政府级次划转、移交资产；</w:t>
      </w:r>
    </w:p>
    <w:p w14:paraId="64BD253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三）行政事业单位注销出资企业（一级企业）收回对外投资，以及转让出资企业（一级企业）单笔金额不超过100万元（不含100万元）的股权；该股权处置事项需按照《企业国有产权转让管理暂行办法》相关规定执行，转让方需制定转让方案并申报国有产权主管部门进行审批，同时若属于国有控股企业股权转让范畴，应遵循国有资产交易相关监管要求开展操作。</w:t>
      </w:r>
    </w:p>
    <w:p w14:paraId="66948679">
      <w:pPr>
        <w:keepNext/>
        <w:keepLines/>
        <w:widowControl/>
        <w:spacing w:beforeLines="0" w:beforeAutospacing="0" w:afterLines="0" w:afterAutospacing="0" w:line="560" w:lineRule="exact"/>
        <w:ind w:firstLine="616" w:firstLineChars="200"/>
        <w:outlineLvl w:val="0"/>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（四）县机关事务管理部门本级土地房屋及构筑物转让；</w:t>
      </w:r>
    </w:p>
    <w:p w14:paraId="543FE7F0">
      <w:pPr>
        <w:keepNext/>
        <w:keepLines/>
        <w:widowControl/>
        <w:spacing w:beforeLines="0" w:beforeAutospacing="0" w:afterLines="0" w:afterAutospacing="0" w:line="560" w:lineRule="exact"/>
        <w:ind w:firstLine="616" w:firstLineChars="200"/>
        <w:outlineLvl w:val="0"/>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（五）资产在本部门内调拨、置换的。</w:t>
      </w:r>
    </w:p>
    <w:p w14:paraId="71B83A2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各行政事业单位应当在规定权限内结合实际及时处置国有资产，一个月度内分散处置的国有资产，原则上按同一批次汇总核算批量价值。</w:t>
      </w:r>
    </w:p>
    <w:p w14:paraId="76F0520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highlight w:val="none"/>
          <w:lang w:val="en-US" w:eastAsia="zh-CN" w:bidi="ar-SA"/>
        </w:rPr>
      </w:pPr>
      <w:r>
        <w:rPr>
          <w:rFonts w:hint="default" w:ascii="Times New Roman" w:hAnsi="Times New Roman" w:eastAsia="仿宋_GB2312" w:cs="Times New Roman"/>
          <w:color w:val="auto"/>
          <w:spacing w:val="-6"/>
          <w:kern w:val="2"/>
          <w:sz w:val="32"/>
          <w:szCs w:val="32"/>
          <w:highlight w:val="none"/>
          <w:lang w:val="en-US" w:eastAsia="zh-CN" w:bidi="ar-SA"/>
        </w:rPr>
        <w:t>各行政事业单位主管部门在收到申报单位提交的资产处置报告时，应当按规定进行审核，重点审核申报单位提交的各类证明材料是否符合该项处置申报的必备要件规定，是否真实、完整、有效；签订的各项协议、合同是否存在逻辑瑕疵。填报的各类表格是否有缺项和填写错误；资产评估报告的格式及内容是否规范、合理；拟处置资产原值的有效凭证是否完整。</w:t>
      </w:r>
    </w:p>
    <w:p w14:paraId="4258B253">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第十一条 </w:t>
      </w:r>
      <w:r>
        <w:rPr>
          <w:rFonts w:hint="default" w:ascii="Times New Roman" w:hAnsi="Times New Roman" w:eastAsia="仿宋_GB2312" w:cs="Times New Roman"/>
          <w:color w:val="auto"/>
          <w:spacing w:val="-6"/>
          <w:kern w:val="2"/>
          <w:sz w:val="32"/>
          <w:szCs w:val="32"/>
          <w:lang w:val="en-US" w:eastAsia="zh-CN" w:bidi="ar-SA"/>
        </w:rPr>
        <w:t xml:space="preserve"> 行政事业单位下列资产处置事项，由主管部门审核后，报送县机关事务管理部门审批，县机关事务管理部门在年度终了前将本年度处置事项报送县财政局备案：</w:t>
      </w:r>
    </w:p>
    <w:p w14:paraId="41C95811">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（一）行政事业单位办公用房（含房屋及构筑物）处置；</w:t>
      </w:r>
    </w:p>
    <w:p w14:paraId="56F01A2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（二）行政事业单位车辆（不含执法执勤用车和特种专业技术用车）处置；</w:t>
      </w:r>
    </w:p>
    <w:p w14:paraId="4F98A6EA">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第十二条</w:t>
      </w:r>
      <w:r>
        <w:rPr>
          <w:rFonts w:hint="default" w:ascii="Times New Roman" w:hAnsi="Times New Roman" w:eastAsia="仿宋_GB2312" w:cs="Times New Roman"/>
          <w:color w:val="auto"/>
          <w:spacing w:val="-6"/>
          <w:kern w:val="2"/>
          <w:sz w:val="32"/>
          <w:szCs w:val="32"/>
          <w:lang w:val="en-US" w:eastAsia="zh-CN" w:bidi="ar-SA"/>
        </w:rPr>
        <w:t xml:space="preserve">  行政事业单位下列资产处置，由主管部门审批，年度终了前按要求备案：</w:t>
      </w:r>
    </w:p>
    <w:p w14:paraId="6260E59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（一）行政单位土地、房屋及构筑物、车辆、货币性资产以外，单项或批量原值不超过30万元（不含30万元）的资产处置；</w:t>
      </w:r>
    </w:p>
    <w:p w14:paraId="13DD83D2">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（二）事业单位除土地、房屋及构筑物、车辆、货币性资产以外的资产处置。</w:t>
      </w:r>
    </w:p>
    <w:p w14:paraId="34847DF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主管部门结合本部门实际，可将部分资产处置审批权限下放给所属单位。</w:t>
      </w:r>
    </w:p>
    <w:p w14:paraId="41FC35D9">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第十三条</w:t>
      </w:r>
      <w:r>
        <w:rPr>
          <w:rFonts w:hint="default" w:ascii="Times New Roman" w:hAnsi="Times New Roman" w:eastAsia="仿宋_GB2312" w:cs="Times New Roman"/>
          <w:color w:val="auto"/>
          <w:spacing w:val="-6"/>
          <w:kern w:val="2"/>
          <w:sz w:val="32"/>
          <w:szCs w:val="32"/>
          <w:lang w:val="en-US" w:eastAsia="zh-CN" w:bidi="ar-SA"/>
        </w:rPr>
        <w:t xml:space="preserve">  在突发公共卫生事件或重大自然灾害等应急情况下，行政事业单位可遵循急事急办、特事特办的原则，先行处置相关国有资产，待应急事件结束后2个月内，按照资产处置审批权限及相关流程报批并备案。</w:t>
      </w:r>
    </w:p>
    <w:p w14:paraId="724C6AF8">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第十四条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 xml:space="preserve"> 除国家和省另有规定外，行政事业性国有资产转让、置换等，应当选择具备相应资质的资产评估机构进行资产评估。拟选用的资产评估机构需依法成立，具备企业法人资格、营业执照等法定资质，取得国家或地方资产评估相关资质认定，配备持有注册资产评估师资格证书的专业人员团队，同时具备相应的机构实力、良好信誉，且无严重违法违规记录。</w:t>
      </w:r>
    </w:p>
    <w:p w14:paraId="03497EB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资产评估过程中，行政事业单位应当如实提供有关情况和资料，对所提供情况和资料的客观性、真实性、合法性负责，不得以任何形式干预资产评估机构独立执业。</w:t>
      </w:r>
    </w:p>
    <w:p w14:paraId="35EC8F2E">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第十五条</w:t>
      </w:r>
      <w:r>
        <w:rPr>
          <w:rFonts w:hint="default" w:ascii="Times New Roman" w:hAnsi="Times New Roman" w:eastAsia="仿宋_GB2312" w:cs="Times New Roman"/>
          <w:color w:val="auto"/>
          <w:spacing w:val="-6"/>
          <w:kern w:val="2"/>
          <w:sz w:val="32"/>
          <w:szCs w:val="32"/>
          <w:lang w:val="en-US" w:eastAsia="zh-CN" w:bidi="ar-SA"/>
        </w:rPr>
        <w:t xml:space="preserve">  按照“谁审批谁备案”的原则，县财政局、县机关事务管理部门和县有关部门单位按照本办法第二章规定的审批权限对单位资产评估报告进行备案。</w:t>
      </w:r>
    </w:p>
    <w:p w14:paraId="6E4B4B3A">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第十六条  </w:t>
      </w:r>
      <w:r>
        <w:rPr>
          <w:rFonts w:hint="default" w:ascii="Times New Roman" w:hAnsi="Times New Roman" w:eastAsia="仿宋_GB2312" w:cs="Times New Roman"/>
          <w:color w:val="auto"/>
          <w:spacing w:val="-6"/>
          <w:kern w:val="2"/>
          <w:sz w:val="32"/>
          <w:szCs w:val="32"/>
          <w:lang w:val="en-US" w:eastAsia="zh-CN" w:bidi="ar-SA"/>
        </w:rPr>
        <w:t>除国家和省另有规定外，行政事业单位土地、房屋及构筑物、车辆、对外投资、股权债权，以及单件或批量原值超过30万元的设施设备等资产处置，应当在单位内部进行公示，公示期限不少于5个工作日。</w:t>
      </w:r>
    </w:p>
    <w:p w14:paraId="73C880E5">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0C5AB937">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第三章  处置方式和程序</w:t>
      </w:r>
    </w:p>
    <w:p w14:paraId="5CE94A4B">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57116057">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第一节  无偿划转</w:t>
      </w:r>
    </w:p>
    <w:p w14:paraId="2E488CD3">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b w:val="0"/>
          <w:bCs w:val="0"/>
          <w:snapToGrid w:val="0"/>
          <w:color w:val="auto"/>
          <w:spacing w:val="0"/>
          <w:w w:val="100"/>
          <w:kern w:val="0"/>
          <w:sz w:val="28"/>
          <w:szCs w:val="32"/>
          <w:lang w:val="en-US" w:eastAsia="en-US" w:bidi="ar-SA"/>
        </w:rPr>
      </w:pPr>
    </w:p>
    <w:p w14:paraId="19376D97">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第十七条</w:t>
      </w:r>
      <w:r>
        <w:rPr>
          <w:rFonts w:hint="default" w:ascii="Times New Roman" w:hAnsi="Times New Roman" w:eastAsia="仿宋_GB2312" w:cs="Times New Roman"/>
          <w:color w:val="auto"/>
          <w:spacing w:val="-6"/>
          <w:kern w:val="2"/>
          <w:sz w:val="32"/>
          <w:szCs w:val="32"/>
          <w:lang w:val="en-US" w:eastAsia="zh-CN" w:bidi="ar-SA"/>
        </w:rPr>
        <w:t xml:space="preserve">  无偿划转是指在不改变国有资产性质的前提下，以无偿转让方式变更国有资产占有权、使用权的行为。办理国有资产无偿划转，应当由划出方按照以下程序实施：</w:t>
      </w:r>
    </w:p>
    <w:p w14:paraId="0E410C2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（一）行政事业单位之间无偿划转国有资产，以及行政事业单位通过增加企业注册资本或国有资本公积方式对国有全资企业无偿划转国有资产，按照本办法第二章规定的相应权限履行审批手续；</w:t>
      </w:r>
    </w:p>
    <w:p w14:paraId="60E5649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跨政府级次无偿划转国有资产，需按照相应审批流程办理：无偿划转给县级以上的，由划出方按照同级财政部门规定的处置权限履行审批手续；无偿划转给县级以下其他地方的，按照本办法第二章规定的相应权限履行审批手续；由县级以下其他地方无偿划转的，由划出方按照同级财政部门规定的国有资产处置权限履行审批手续。</w:t>
      </w:r>
    </w:p>
    <w:p w14:paraId="129CAAFF">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第十八条  </w:t>
      </w:r>
      <w:r>
        <w:rPr>
          <w:rFonts w:hint="default" w:ascii="Times New Roman" w:hAnsi="Times New Roman" w:eastAsia="仿宋_GB2312" w:cs="Times New Roman"/>
          <w:color w:val="auto"/>
          <w:spacing w:val="-6"/>
          <w:kern w:val="2"/>
          <w:sz w:val="32"/>
          <w:szCs w:val="32"/>
          <w:lang w:val="en-US" w:eastAsia="zh-CN" w:bidi="ar-SA"/>
        </w:rPr>
        <w:t xml:space="preserve">行政事业单位中存在的长期低效运转、长期闲置以及未经批准超标准配置的资产，应优先通过全省统一的资产调剂共享平台或公物仓平台，以无偿划转方式进行调剂处置。     </w:t>
      </w:r>
    </w:p>
    <w:p w14:paraId="40966EE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资产调剂共享是指通过全省统一的资产调剂共享平台或公物仓平台，将行政事业单位长期低效运转、长期闲置、未经批准超标准配置的资产，以无偿划转方式在单位之间进行优化配置的处置行为。资产调剂共享是实现资产梯度使用、延长使用寿命、做到物尽其用的重要途径，对于节约财政资金、有效保障单位履职和事业发展具有重要意义。</w:t>
      </w:r>
    </w:p>
    <w:p w14:paraId="0675D9E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除土地、房屋及构筑物、车辆以外的资产，通过调剂共享平台或公物仓平台办理无偿划转的，履行线上审批程序，依据平台生成的无偿划转确认材料，及时进行相关账务处理。各单位应充分认识资产调剂共享的积极作用，优先通过平台开展资产余缺调剂，推动“沉睡”资产转化为增收“活水”，提高资产使用和处置效益。</w:t>
      </w:r>
    </w:p>
    <w:p w14:paraId="66B9B727">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第十九条 </w:t>
      </w:r>
      <w:r>
        <w:rPr>
          <w:rFonts w:hint="default" w:ascii="Times New Roman" w:hAnsi="Times New Roman" w:eastAsia="仿宋_GB2312" w:cs="Times New Roman"/>
          <w:color w:val="auto"/>
          <w:spacing w:val="-6"/>
          <w:kern w:val="2"/>
          <w:sz w:val="32"/>
          <w:szCs w:val="32"/>
          <w:lang w:val="en-US" w:eastAsia="zh-CN" w:bidi="ar-SA"/>
        </w:rPr>
        <w:t xml:space="preserve"> 行政事业单位申请无偿划转国有资产，应当由划出方提交以下材料：</w:t>
      </w:r>
    </w:p>
    <w:p w14:paraId="16A23D4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（一）申请文件及单位内部集体决策有关决议或会议纪要、划出方和划入方签署的意向性协议；</w:t>
      </w:r>
    </w:p>
    <w:p w14:paraId="633E52C2">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包括资产名称、类型、数量、账面原值、取得日期等核心内容，下同）、价值凭证及产权证明（如发票或收据、记账凭证、资产信息卡、竣工财务决算报告、国有土地使用证、房屋所有权证、不动产权证、机动车行驶证、专利证、著作权证、担保（抵押）凭证、债权或股权凭证、投资协议等凭据的复印件，下同）；</w:t>
      </w:r>
    </w:p>
    <w:p w14:paraId="5B85DD02">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（三）因单位撤销、合并、分立、改制而移交国有资产的，需提供相关批文、资产清查报告等材料；</w:t>
      </w:r>
    </w:p>
    <w:p w14:paraId="3E22A66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（四）无偿划转给国有全资企业的，另需提供县委、县政府有关部署文件、材料或可行性研究及风险分析报告；</w:t>
      </w:r>
    </w:p>
    <w:p w14:paraId="545D5300">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（五）其他相关材料。</w:t>
      </w:r>
    </w:p>
    <w:p w14:paraId="3C26A020">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b w:val="0"/>
          <w:bCs w:val="0"/>
          <w:snapToGrid w:val="0"/>
          <w:color w:val="auto"/>
          <w:spacing w:val="0"/>
          <w:w w:val="100"/>
          <w:kern w:val="0"/>
          <w:sz w:val="28"/>
          <w:szCs w:val="32"/>
          <w:lang w:val="en-US" w:eastAsia="en-US" w:bidi="ar-SA"/>
        </w:rPr>
      </w:pPr>
    </w:p>
    <w:p w14:paraId="359C7359">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第二节  对外捐赠</w:t>
      </w:r>
    </w:p>
    <w:p w14:paraId="045A3177">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b w:val="0"/>
          <w:bCs w:val="0"/>
          <w:color w:val="auto"/>
          <w:spacing w:val="0"/>
          <w:w w:val="100"/>
          <w:kern w:val="2"/>
          <w:sz w:val="28"/>
          <w:szCs w:val="32"/>
          <w:lang w:val="en-US" w:eastAsia="zh-CN" w:bidi="ar-SA"/>
        </w:rPr>
      </w:pPr>
    </w:p>
    <w:p w14:paraId="72097B4B">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第二十条</w:t>
      </w:r>
      <w:r>
        <w:rPr>
          <w:rFonts w:hint="default" w:ascii="Times New Roman" w:hAnsi="Times New Roman" w:eastAsia="仿宋_GB2312" w:cs="Times New Roman"/>
          <w:color w:val="auto"/>
          <w:spacing w:val="-6"/>
          <w:kern w:val="2"/>
          <w:sz w:val="32"/>
          <w:szCs w:val="32"/>
          <w:lang w:val="en-US" w:eastAsia="zh-CN" w:bidi="ar-SA"/>
        </w:rPr>
        <w:t xml:space="preserve">  对外捐赠是指行政事业单位依照《中华人民共和国公益事业捐赠法》，自愿无偿将其占有、使用的国有资产赠予合法受赠人的行为。</w:t>
      </w:r>
    </w:p>
    <w:p w14:paraId="5467750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除政府特定对外捐赠任务外，行政事业单位对外捐赠应当使用本单位闲置资产或淘汰仍有使用价值的资产，不得新购资产用于对外捐赠。</w:t>
      </w:r>
    </w:p>
    <w:p w14:paraId="66D3BC0A">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第二十一条</w:t>
      </w:r>
      <w:r>
        <w:rPr>
          <w:rFonts w:hint="default" w:ascii="Times New Roman" w:hAnsi="Times New Roman" w:eastAsia="仿宋_GB2312" w:cs="Times New Roman"/>
          <w:color w:val="auto"/>
          <w:spacing w:val="-6"/>
          <w:kern w:val="2"/>
          <w:sz w:val="32"/>
          <w:szCs w:val="32"/>
          <w:lang w:val="en-US" w:eastAsia="zh-CN" w:bidi="ar-SA"/>
        </w:rPr>
        <w:t xml:space="preserve">  行政事业单位申请对外捐赠国有资产，应当提交以下材料：</w:t>
      </w:r>
    </w:p>
    <w:p w14:paraId="56BB9A8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w:t>
      </w:r>
    </w:p>
    <w:p w14:paraId="571BF812">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（二）国有资产清单、价值凭证及产权证明；</w:t>
      </w:r>
    </w:p>
    <w:p w14:paraId="66DD9DF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（三）国家和省有关政策文件，或者对外捐赠报告（报告内容包括对外捐赠事由、方式、责任人、国有资产构成及其数额、对外捐赠事项对本单位财务状况和业务活动影响的分析等）；</w:t>
      </w:r>
    </w:p>
    <w:p w14:paraId="3DC386C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（四）其他相关材料。</w:t>
      </w:r>
    </w:p>
    <w:p w14:paraId="266879B8">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第二十二条</w:t>
      </w:r>
      <w:r>
        <w:rPr>
          <w:rFonts w:hint="default" w:ascii="Times New Roman" w:hAnsi="Times New Roman" w:eastAsia="仿宋_GB2312" w:cs="Times New Roman"/>
          <w:color w:val="auto"/>
          <w:spacing w:val="-6"/>
          <w:kern w:val="2"/>
          <w:sz w:val="32"/>
          <w:szCs w:val="32"/>
          <w:lang w:val="en-US" w:eastAsia="zh-CN" w:bidi="ar-SA"/>
        </w:rPr>
        <w:t xml:space="preserve">  行政事业单位应当在对外捐赠行为获得批准后，及时与受赠方签订捐赠协议，捐赠协议应当明确捐赠资产的种类、规格、数量、用途和方式等内容，并根据批准文件和受赠方出具的有关凭证或者交接清单予以确认。</w:t>
      </w:r>
    </w:p>
    <w:p w14:paraId="6EFE48FF">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第二十三条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 xml:space="preserve"> 除国家和省另有规定外，行政单位不得对外捐赠货币资金；事业单位不得利用财政资金对外捐赠，利用自有资金对外捐赠的，应当经集体决策和主管部门审核后，报县财政局审批。</w:t>
      </w:r>
    </w:p>
    <w:p w14:paraId="60A7A7D4">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b w:val="0"/>
          <w:bCs w:val="0"/>
          <w:snapToGrid w:val="0"/>
          <w:color w:val="auto"/>
          <w:spacing w:val="0"/>
          <w:w w:val="100"/>
          <w:kern w:val="0"/>
          <w:sz w:val="28"/>
          <w:szCs w:val="32"/>
          <w:lang w:val="en-US" w:eastAsia="en-US" w:bidi="ar-SA"/>
        </w:rPr>
      </w:pPr>
    </w:p>
    <w:p w14:paraId="6B1C6FD1">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第三节  转让</w:t>
      </w:r>
    </w:p>
    <w:p w14:paraId="7AEA2CBF">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2" w:firstLineChars="200"/>
        <w:jc w:val="left"/>
        <w:textAlignment w:val="baseline"/>
        <w:rPr>
          <w:rFonts w:hint="default" w:ascii="Times New Roman" w:hAnsi="Times New Roman" w:eastAsia="宋体" w:cs="Times New Roman"/>
          <w:b/>
          <w:bCs/>
          <w:color w:val="auto"/>
          <w:spacing w:val="0"/>
          <w:w w:val="100"/>
          <w:kern w:val="2"/>
          <w:sz w:val="28"/>
          <w:szCs w:val="32"/>
          <w:lang w:val="en-US" w:eastAsia="zh-CN" w:bidi="ar-SA"/>
        </w:rPr>
      </w:pPr>
    </w:p>
    <w:p w14:paraId="699D7717">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第二十四条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 xml:space="preserve"> 转让是指行政事业单位依法变更国有资产占有权、使用权并取得相应收益的行为。</w:t>
      </w:r>
    </w:p>
    <w:p w14:paraId="413B9653">
      <w:pPr>
        <w:keepNext w:val="0"/>
        <w:keepLines w:val="0"/>
        <w:pageBreakBefore w:val="0"/>
        <w:widowControl w:val="0"/>
        <w:kinsoku/>
        <w:wordWrap/>
        <w:overflowPunct w:val="0"/>
        <w:topLinePunct w:val="0"/>
        <w:autoSpaceDE/>
        <w:autoSpaceDN/>
        <w:bidi w:val="0"/>
        <w:adjustRightInd w:val="0"/>
        <w:snapToGrid w:val="0"/>
        <w:spacing w:line="580" w:lineRule="exact"/>
        <w:ind w:left="0" w:right="0" w:firstLine="619" w:firstLineChars="200"/>
        <w:jc w:val="both"/>
        <w:textAlignment w:val="baseline"/>
        <w:rPr>
          <w:rFonts w:hint="default" w:ascii="Times New Roman" w:hAnsi="Times New Roman" w:eastAsia="仿宋_GB2312" w:cs="Times New Roman"/>
          <w:color w:val="auto"/>
          <w:spacing w:val="0"/>
          <w:w w:val="100"/>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第二十五条  </w:t>
      </w:r>
      <w:r>
        <w:rPr>
          <w:rFonts w:hint="default" w:ascii="Times New Roman" w:hAnsi="Times New Roman" w:eastAsia="仿宋_GB2312" w:cs="Times New Roman"/>
          <w:color w:val="auto"/>
          <w:spacing w:val="0"/>
          <w:w w:val="100"/>
          <w:kern w:val="2"/>
          <w:sz w:val="32"/>
          <w:szCs w:val="32"/>
          <w:lang w:val="en-US" w:eastAsia="zh-CN" w:bidi="ar-SA"/>
        </w:rPr>
        <w:t>行政事业性国有资产转让，应当遵循公开、公平、公正和竞争择优的原则，通过公共资源交易平台或依法设立的产权交易机构，采取拍卖、招投标、协议转让以及法律法规规定的其他方式进行。确需采取非公开方式定向转让的，应当按照审批权限报县财政局、县机关事务管理部门批准后方可进行。</w:t>
      </w:r>
    </w:p>
    <w:p w14:paraId="59F7C5D1">
      <w:pPr>
        <w:widowControl/>
        <w:adjustRightInd w:val="0"/>
        <w:snapToGrid w:val="0"/>
        <w:spacing w:line="560" w:lineRule="exact"/>
        <w:ind w:firstLine="640"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0"/>
          <w:w w:val="100"/>
          <w:kern w:val="2"/>
          <w:sz w:val="32"/>
          <w:szCs w:val="32"/>
          <w:lang w:val="en-US" w:eastAsia="zh-CN" w:bidi="ar-SA"/>
        </w:rPr>
        <w:t>行政事业性国有资产转让，需遵循以下流程：一、单位申报：转让方提交资产转让申请报告及相关材料，按权限报送主管部门或财政部门审核；二、审核审批：主管部门进行审核后报财政部门审批；三、评估备案：委托具备资质的机构进行资产评估，评估报告按规定报主管部门核准备案；四、进场交易：向公共资源交易中心提交申请材料，经受理后发布挂牌转让公告，公告期限不少于20天；五、受让登记与审核：意向受让方提交申请材料，经交易中心审查及转让方资格确认后，交纳受让保证金；六、成交签约与结算：根据意向受让方数量确定交易方式，签订交易合同并通过交易中心第三方托管账户完成资金结算；七、产权变更与备案：完成交易后办理产权变更登记手续，由主管部门定期将资产处置审批结果报财政部门备案。 国有资产转让应当遵循公开、公平、公正和竞争择优的原则，通过公共资源交易平台或者依法设立的产权交易机构，采取拍卖、招投标、协议转让以及法律法规规定的其他方式开展。确需采取非公开方式定向转让的，应当报县政府批准后方可进行。涉及国家秘密、国家安全、公共安全，以及因资产功能特殊、仅能由特定单位使用或接收（如涉密设备、专用软件）的，经单位集体决策并报县政府批准后，可采取非公开协议转让方式。</w:t>
      </w:r>
    </w:p>
    <w:p w14:paraId="7392E680">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第二十六条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 xml:space="preserve">  除国家和省另有规定外，行政事业单位转让国有资产应当以经备案的资产评估报告所确认的评估价值作为资产转让底价的参考依据，首次公开交易挂牌价格不得低于备案评估价格。若首次公开交易未征集到意向方，可以不低于评估价格90%再次挂牌；如仍未征集到意向方，经出租行为批准部门备案，可以不低于评估价80%继续挂牌。每次下调挂牌价格，均需重新报经原批准部门备案后方可实施。</w:t>
      </w:r>
    </w:p>
    <w:p w14:paraId="3F02D11D">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第二十七条</w:t>
      </w:r>
      <w:r>
        <w:rPr>
          <w:rFonts w:hint="default" w:ascii="Times New Roman" w:hAnsi="Times New Roman" w:eastAsia="仿宋_GB2312" w:cs="Times New Roman"/>
          <w:color w:val="auto"/>
          <w:spacing w:val="-6"/>
          <w:kern w:val="2"/>
          <w:sz w:val="32"/>
          <w:szCs w:val="32"/>
          <w:lang w:val="en-US" w:eastAsia="zh-CN" w:bidi="ar-SA"/>
        </w:rPr>
        <w:t xml:space="preserve">  行政事业单位申请国有资产转让，应当提交以下材料：</w:t>
      </w:r>
    </w:p>
    <w:p w14:paraId="6B67166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w:t>
      </w:r>
    </w:p>
    <w:p w14:paraId="0758CFA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（二）国有资产清单、价值凭证及产权证明；</w:t>
      </w:r>
    </w:p>
    <w:p w14:paraId="7ABE64D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（三）拟转让资产的评估报告；</w:t>
      </w:r>
    </w:p>
    <w:p w14:paraId="4150C44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（四）律师事务所出具的法律意见书；</w:t>
      </w:r>
    </w:p>
    <w:p w14:paraId="20A8735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（五）其他相关材料。</w:t>
      </w:r>
    </w:p>
    <w:p w14:paraId="52D6B6D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p>
    <w:p w14:paraId="5E837FB7">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34786040">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第四节  置换</w:t>
      </w:r>
    </w:p>
    <w:p w14:paraId="0E9A8E27">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2" w:firstLineChars="200"/>
        <w:jc w:val="left"/>
        <w:textAlignment w:val="baseline"/>
        <w:rPr>
          <w:rFonts w:hint="default" w:ascii="Times New Roman" w:hAnsi="Times New Roman" w:eastAsia="宋体" w:cs="Times New Roman"/>
          <w:b/>
          <w:bCs/>
          <w:color w:val="auto"/>
          <w:spacing w:val="0"/>
          <w:w w:val="100"/>
          <w:kern w:val="2"/>
          <w:sz w:val="28"/>
          <w:szCs w:val="32"/>
          <w:lang w:val="en-US" w:eastAsia="zh-CN" w:bidi="ar-SA"/>
        </w:rPr>
      </w:pPr>
    </w:p>
    <w:p w14:paraId="3C950529">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第二十八条</w:t>
      </w:r>
      <w:r>
        <w:rPr>
          <w:rFonts w:hint="default" w:ascii="Times New Roman" w:hAnsi="Times New Roman" w:eastAsia="仿宋_GB2312" w:cs="Times New Roman"/>
          <w:color w:val="auto"/>
          <w:spacing w:val="-6"/>
          <w:kern w:val="2"/>
          <w:sz w:val="32"/>
          <w:szCs w:val="32"/>
          <w:lang w:val="en-US" w:eastAsia="zh-CN" w:bidi="ar-SA"/>
        </w:rPr>
        <w:t xml:space="preserve">  资产置换是指行政事业单位与其他单位（包括国有全资企业）以固定资产、无形资产等为主开展的资产交换行为，一般不涉及货币性资产，仅可涉及用于补差价的少量货币性资产。</w:t>
      </w:r>
    </w:p>
    <w:p w14:paraId="38C988C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资产置换应当符合灌云县行政事业单位通用资产配置标准，资产置换需以资产评估价值作为置换对价的参考依据，原则上按照等价置换执行。</w:t>
      </w:r>
    </w:p>
    <w:p w14:paraId="38D0DDA9">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第二十九条</w:t>
      </w:r>
      <w:r>
        <w:rPr>
          <w:rFonts w:hint="default" w:ascii="Times New Roman" w:hAnsi="Times New Roman" w:eastAsia="仿宋_GB2312" w:cs="Times New Roman"/>
          <w:color w:val="auto"/>
          <w:spacing w:val="-6"/>
          <w:kern w:val="2"/>
          <w:sz w:val="32"/>
          <w:szCs w:val="32"/>
          <w:lang w:val="en-US" w:eastAsia="zh-CN" w:bidi="ar-SA"/>
        </w:rPr>
        <w:t xml:space="preserve">  行政事业单位申请置换国有资产，应当提交以下材料：</w:t>
      </w:r>
    </w:p>
    <w:p w14:paraId="4008F91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w:t>
      </w:r>
    </w:p>
    <w:p w14:paraId="54159FB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（二）国有资产清单、价值凭证及产权证明；</w:t>
      </w:r>
    </w:p>
    <w:p w14:paraId="6D3389D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（三）资产置换方案，包括双方置换资产的基本情况、置换原因、可行性分析等；</w:t>
      </w:r>
    </w:p>
    <w:p w14:paraId="78ECB9D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（四）置换双方签署的意向性协议；</w:t>
      </w:r>
    </w:p>
    <w:p w14:paraId="4F94524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（五）与国有全资企业开展置换的，另需提供县委、县政府有关部署文件或可行性研究及风险分析报告；</w:t>
      </w:r>
    </w:p>
    <w:p w14:paraId="271D0E80">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（六）国有资产评估报告；</w:t>
      </w:r>
    </w:p>
    <w:p w14:paraId="56C2D87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（七）其他相关材料。</w:t>
      </w:r>
    </w:p>
    <w:p w14:paraId="6113AB84">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第三十条</w:t>
      </w:r>
      <w:r>
        <w:rPr>
          <w:rFonts w:hint="default" w:ascii="Times New Roman" w:hAnsi="Times New Roman" w:eastAsia="仿宋_GB2312" w:cs="Times New Roman"/>
          <w:color w:val="auto"/>
          <w:spacing w:val="-6"/>
          <w:kern w:val="2"/>
          <w:sz w:val="32"/>
          <w:szCs w:val="32"/>
          <w:lang w:val="en-US" w:eastAsia="zh-CN" w:bidi="ar-SA"/>
        </w:rPr>
        <w:t xml:space="preserve">  行政事业单位国有土地、房屋资产因征收或拆迁发生权属转移的，应当提交以下材料：</w:t>
      </w:r>
    </w:p>
    <w:p w14:paraId="0A1EA4B0">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w:t>
      </w:r>
    </w:p>
    <w:p w14:paraId="2FF7A13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（二）国有资产清单、价值凭证及产权证明；</w:t>
      </w:r>
    </w:p>
    <w:p w14:paraId="33D7A40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（三）地方政府征收或拆迁文件、公告等材料。因城市规划等需要收回国有土地使用权的，土地性质为划拨的，依法按划拨土地价格进行评估；性质为出让的，按市场评估价进行评估；</w:t>
      </w:r>
    </w:p>
    <w:p w14:paraId="6DC9514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（四）征迁双方签署的征收拆迁补偿框架性协议；</w:t>
      </w:r>
    </w:p>
    <w:p w14:paraId="4123E12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（五）国有资产评估报告；</w:t>
      </w:r>
    </w:p>
    <w:p w14:paraId="5B69BF4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（六）其他相关材料。</w:t>
      </w:r>
    </w:p>
    <w:p w14:paraId="6EECB5F0">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2AA0325E">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第五节  报废</w:t>
      </w:r>
    </w:p>
    <w:p w14:paraId="34360C76">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2" w:firstLineChars="200"/>
        <w:jc w:val="left"/>
        <w:textAlignment w:val="baseline"/>
        <w:rPr>
          <w:rFonts w:hint="default" w:ascii="Times New Roman" w:hAnsi="Times New Roman" w:eastAsia="宋体" w:cs="Times New Roman"/>
          <w:b/>
          <w:bCs/>
          <w:color w:val="auto"/>
          <w:spacing w:val="0"/>
          <w:w w:val="100"/>
          <w:kern w:val="2"/>
          <w:sz w:val="28"/>
          <w:szCs w:val="32"/>
          <w:lang w:val="en-US" w:eastAsia="zh-CN" w:bidi="ar-SA"/>
        </w:rPr>
      </w:pPr>
    </w:p>
    <w:p w14:paraId="3EE6DE78">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第三十一条</w:t>
      </w:r>
      <w:r>
        <w:rPr>
          <w:rFonts w:hint="default" w:ascii="Times New Roman" w:hAnsi="Times New Roman" w:eastAsia="仿宋_GB2312" w:cs="Times New Roman"/>
          <w:color w:val="auto"/>
          <w:spacing w:val="-6"/>
          <w:kern w:val="2"/>
          <w:sz w:val="32"/>
          <w:szCs w:val="32"/>
          <w:lang w:val="en-US" w:eastAsia="zh-CN" w:bidi="ar-SA"/>
        </w:rPr>
        <w:t xml:space="preserve">  报废是指对行政事业性国有资产进行产权核销的处置行为。符合以下条件之一的国有资产，可以进行报废：</w:t>
      </w:r>
    </w:p>
    <w:p w14:paraId="667F6F1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（一）经有关部门、机构鉴定，因技术原因确需淘汰、无法维修或无维修价值的资产；</w:t>
      </w:r>
    </w:p>
    <w:p w14:paraId="0720C77C">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（二）经单位自行组织相关人员鉴定，除房屋、车辆以外的设施设备等其他无使用价值的资产；</w:t>
      </w:r>
    </w:p>
    <w:p w14:paraId="0C56252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（三）无法满足正常工作需要的国有资产；</w:t>
      </w:r>
    </w:p>
    <w:p w14:paraId="32394DD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（四）按照环保、安全等有关规定确需报废的国有资产。</w:t>
      </w:r>
    </w:p>
    <w:p w14:paraId="62660FA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行政事业单位通用办公设备和家具报废应当按照现行国有资产配置标准规定的使用年限执行，其中办公家具方面，办公桌、办公椅、沙发、茶几、桌前椅、书柜等最低使用年限为15年，文件柜、茶水柜、会议室家具、接待室家具最低使用年限为20年；办公设备方面，台式计算机、便携式计算机、打印机、复印机等最低使用年限为7年（复印机也可按复印30万张纸执行）。其他资产报废可参照政府会计准则等规定的折旧年限标准执行，同时要遵循已达到最低使用年限但尚可使用的资产应当继续使用的原则。</w:t>
      </w:r>
    </w:p>
    <w:p w14:paraId="5FED64C0">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第三十二条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 xml:space="preserve"> 对于参照市场价格估值低于3000元的单件或批量报废资产处置事项（土地、房屋及构筑物、车辆除外），行政事业单位可按照公开、公正、公平和竞争择优的原则自行公开处置，自行组织相关人员参照资产评估方法，结合资产实际状况、功能性能、技术状态、使用年限等因素评估确定残值价值。履行内部决策程序后，邀请三家及以上有资质的回收机构进行比选，价高者得，并留存比选记录；对</w:t>
      </w:r>
      <w:r>
        <w:rPr>
          <w:rFonts w:hint="default" w:ascii="Times New Roman" w:hAnsi="Times New Roman" w:eastAsia="仿宋_GB2312" w:cs="Times New Roman"/>
          <w:color w:val="auto"/>
          <w:spacing w:val="-6"/>
          <w:kern w:val="2"/>
          <w:sz w:val="32"/>
          <w:szCs w:val="32"/>
          <w:lang w:val="en-US" w:eastAsia="zh-CN" w:bidi="ar-SA"/>
        </w:rPr>
        <w:t>于估值超过3000元的报废资产处置事项，行政事业单位应当选择具备相应资质的资产评估机构开展资产评估工作，通过公共资源交易平台或依法设立的产权交易机构，采取拍卖、招投标、协议转让以及法律法规规定的其他合规方式实施处置。</w:t>
      </w:r>
    </w:p>
    <w:p w14:paraId="0D711B07">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第三十三条 </w:t>
      </w:r>
      <w:r>
        <w:rPr>
          <w:rFonts w:hint="default" w:ascii="Times New Roman" w:hAnsi="Times New Roman" w:eastAsia="仿宋_GB2312" w:cs="Times New Roman"/>
          <w:color w:val="auto"/>
          <w:spacing w:val="-6"/>
          <w:kern w:val="2"/>
          <w:sz w:val="32"/>
          <w:szCs w:val="32"/>
          <w:lang w:val="en-US" w:eastAsia="zh-CN" w:bidi="ar-SA"/>
        </w:rPr>
        <w:t xml:space="preserve"> 行政事业单位申请报废国有资产，应当提交以下材料：</w:t>
      </w:r>
    </w:p>
    <w:p w14:paraId="0D11B5A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w:t>
      </w:r>
    </w:p>
    <w:p w14:paraId="7ACB0C10">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（二）国有资产清单、价值凭证及产权证明；</w:t>
      </w:r>
    </w:p>
    <w:p w14:paraId="1BC6CAC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（三）有关部门、机构或单位鉴定意见；</w:t>
      </w:r>
    </w:p>
    <w:p w14:paraId="61AA467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房屋及构筑物等报废拆除的，根据不同情况提交专业机构出具的鉴定意见或相关职能部门的房屋拆除批复文件、建设项目拆建立项文件等；因城市规划等需要收回国有土地使用权的，土地性质为划拨的，依法按划拨土地价格进行评估；性质为出让的，按市场评估价进行评估；</w:t>
      </w:r>
    </w:p>
    <w:p w14:paraId="695AD6C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（五）车辆提前报废的，提供达到强制报废条件相关材料或具有相应资质机构出具的鉴定报告等；</w:t>
      </w:r>
    </w:p>
    <w:p w14:paraId="3B03665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（六）软件、专利、著作权等无形资产因被其他新技术所代替或已经超过法律保护期限、丧失使用价值和转让价值的，提供有关鉴定意见，或已经超过法律保护期限的证明文件等；</w:t>
      </w:r>
    </w:p>
    <w:p w14:paraId="73B8BFD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（七）其他相关材料。</w:t>
      </w:r>
    </w:p>
    <w:p w14:paraId="2CAA7CC1">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78558482">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第六节  损失核销</w:t>
      </w:r>
    </w:p>
    <w:p w14:paraId="732C1CC2">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b w:val="0"/>
          <w:bCs w:val="0"/>
          <w:color w:val="auto"/>
          <w:spacing w:val="0"/>
          <w:w w:val="100"/>
          <w:kern w:val="2"/>
          <w:sz w:val="28"/>
          <w:szCs w:val="32"/>
          <w:lang w:val="en-US" w:eastAsia="zh-CN" w:bidi="ar-SA"/>
        </w:rPr>
      </w:pPr>
    </w:p>
    <w:p w14:paraId="497556B6">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第三十四条 </w:t>
      </w:r>
      <w:r>
        <w:rPr>
          <w:rFonts w:hint="default" w:ascii="Times New Roman" w:hAnsi="Times New Roman" w:eastAsia="仿宋_GB2312" w:cs="Times New Roman"/>
          <w:color w:val="auto"/>
          <w:spacing w:val="-6"/>
          <w:kern w:val="2"/>
          <w:sz w:val="32"/>
          <w:szCs w:val="32"/>
          <w:lang w:val="en-US" w:eastAsia="zh-CN" w:bidi="ar-SA"/>
        </w:rPr>
        <w:t xml:space="preserve"> 损失核销是指由于发生盘亏、毁损、非正常损失等原因，按照有关规定对国有资产损失进行核销的国有资产处置行为。</w:t>
      </w:r>
    </w:p>
    <w:p w14:paraId="3C5B99E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行政事业单位对发生的国有资产损失，应当依规及时处置。</w:t>
      </w:r>
    </w:p>
    <w:p w14:paraId="4EBA0E89">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第三十五条</w:t>
      </w:r>
      <w:r>
        <w:rPr>
          <w:rFonts w:hint="default" w:ascii="Times New Roman" w:hAnsi="Times New Roman" w:eastAsia="仿宋_GB2312" w:cs="Times New Roman"/>
          <w:color w:val="auto"/>
          <w:spacing w:val="-6"/>
          <w:kern w:val="2"/>
          <w:sz w:val="32"/>
          <w:szCs w:val="32"/>
          <w:lang w:val="en-US" w:eastAsia="zh-CN" w:bidi="ar-SA"/>
        </w:rPr>
        <w:t xml:space="preserve">  行政事业单位申请存货、固定资产、无形资产等国有资产损失核销的，应当提交以下材料：</w:t>
      </w:r>
    </w:p>
    <w:p w14:paraId="6F52E5F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w:t>
      </w:r>
    </w:p>
    <w:p w14:paraId="76B2996F">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（二）国有资产清单、价值凭证及产权证明；</w:t>
      </w:r>
    </w:p>
    <w:p w14:paraId="124598D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（三）国有资产盘亏、毁损以及非正常损失的情况说明，第三方机构出具的经济鉴证证明， 国家有关技术鉴定部门或者具有技术鉴定资格的第三方机构出具的技术鉴定证明（涉及保险索赔的应当有保险公司理赔情况说明），赔偿责任认定说明，法律法规及国家行业标准另有规定的除外；</w:t>
      </w:r>
    </w:p>
    <w:p w14:paraId="1B448B1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（四）未按照规定履行批准程序擅自处置后，申请账务核销的，应当提交所在单位依据有关制度对责任进行认定及处理的情况说明；</w:t>
      </w:r>
    </w:p>
    <w:p w14:paraId="1DEAC29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（五）国有资产被盗的，应当提供公安机关出具的相关证明材料；</w:t>
      </w:r>
    </w:p>
    <w:p w14:paraId="4B2CA0F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（六）因不可抗力因素（自然灾害、意外事故）造成国有资产毁损的，应当提供相关部门出具的受灾证明、事故处理报告、车辆报损证明、房屋拆除证明等；</w:t>
      </w:r>
    </w:p>
    <w:p w14:paraId="2204A3FA">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（七）其他相关材料。</w:t>
      </w:r>
    </w:p>
    <w:p w14:paraId="138A1CD3">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第三十六条</w:t>
      </w:r>
      <w:r>
        <w:rPr>
          <w:rFonts w:hint="default" w:ascii="Times New Roman" w:hAnsi="Times New Roman" w:eastAsia="仿宋_GB2312" w:cs="Times New Roman"/>
          <w:color w:val="auto"/>
          <w:spacing w:val="-6"/>
          <w:kern w:val="2"/>
          <w:sz w:val="32"/>
          <w:szCs w:val="32"/>
          <w:lang w:val="en-US" w:eastAsia="zh-CN" w:bidi="ar-SA"/>
        </w:rPr>
        <w:t xml:space="preserve">  事业单位申请对外投资、担保（抵押）国有资产的损失核销，应当提交以下材料：</w:t>
      </w:r>
    </w:p>
    <w:p w14:paraId="381EC84F">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（一）申请文件及单位内部集体决策有关决议或会议纪要；</w:t>
      </w:r>
    </w:p>
    <w:p w14:paraId="6CE5A93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（二）国有资产清单、价值凭证及产权证明；</w:t>
      </w:r>
    </w:p>
    <w:p w14:paraId="4A16BB3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（三）对外投资、担保（抵押）形成损失的情况说明，相关责任认定及处理情况说明材料的审批文件，被投资单位的清算审计报告及注销文件，第三方机构出具的经济鉴证证明和具有法律效力的证明材料；</w:t>
      </w:r>
    </w:p>
    <w:p w14:paraId="5EA0900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（四）涉及仲裁或者提起诉讼的，提交仲裁决定或者法院判决等相关法律文书；</w:t>
      </w:r>
    </w:p>
    <w:p w14:paraId="6BB9BBF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（五）其他相关材料。</w:t>
      </w:r>
    </w:p>
    <w:p w14:paraId="55CCC951">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第三十七条</w:t>
      </w:r>
      <w:r>
        <w:rPr>
          <w:rFonts w:hint="default" w:ascii="Times New Roman" w:hAnsi="Times New Roman" w:eastAsia="仿宋_GB2312" w:cs="Times New Roman"/>
          <w:color w:val="auto"/>
          <w:spacing w:val="-6"/>
          <w:kern w:val="2"/>
          <w:sz w:val="32"/>
          <w:szCs w:val="32"/>
          <w:lang w:val="en-US" w:eastAsia="zh-CN" w:bidi="ar-SA"/>
        </w:rPr>
        <w:t xml:space="preserve">  行政事业单位应当对报损的国有资产进行专项备查登记，实行“账销案存”管理。对已批准核销的资产损失，单位仍有追偿的权利和义务，应当依法继续追偿。对“账销案存”资产清理和追索收回的资产或者取得的补偿，应当作为资产处置收入管理。</w:t>
      </w:r>
    </w:p>
    <w:p w14:paraId="32AFF9D3">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第三十八条  </w:t>
      </w:r>
      <w:r>
        <w:rPr>
          <w:rFonts w:hint="default" w:ascii="Times New Roman" w:hAnsi="Times New Roman" w:eastAsia="仿宋_GB2312" w:cs="Times New Roman"/>
          <w:color w:val="auto"/>
          <w:spacing w:val="-6"/>
          <w:kern w:val="2"/>
          <w:sz w:val="32"/>
          <w:szCs w:val="32"/>
          <w:lang w:val="en-US" w:eastAsia="zh-CN" w:bidi="ar-SA"/>
        </w:rPr>
        <w:t>行政事业单位资产清查核实中涉及的往来款项等资产损失核销事项，按照财政部《行政事业单位资产清查核实管理办法》（财资〔2016〕1号）以及江苏省相关往来款项管理等清查核实规定办理。</w:t>
      </w:r>
    </w:p>
    <w:p w14:paraId="5333367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往来款核销是指行政事业单位对确认无法收回的应收款项（包括应收账款、预付账款、其他应收款），以及经核实确无支付必要的应付款项，按规定程序进行资产价值注销的处置行为。应付款项核销参照应收款项核销程序执行。</w:t>
      </w:r>
    </w:p>
    <w:p w14:paraId="61968250">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应收款项符合下列情形之一的，可申请核销：</w:t>
      </w:r>
    </w:p>
    <w:p w14:paraId="22196C6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（一）债务人破产：债务人被依法宣告破产，经清算后确实无法收回的部分，依据法院破产公告、破产清算文件认定。</w:t>
      </w:r>
    </w:p>
    <w:p w14:paraId="19FB71F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（二）债务人撤销、注销或被责令关闭：依据市场监管部门撤销、注销、吊销证明，或政府部门责令关闭文件认定。</w:t>
      </w:r>
    </w:p>
    <w:p w14:paraId="7B8A1E3C">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（三）债务人死亡或失踪：债务人死亡，或被依法宣告失踪、死亡，其财产或遗产不足清偿且无继承人的，依据死亡证明、失踪宣告文书、遗产不足清偿证明认定。</w:t>
      </w:r>
    </w:p>
    <w:p w14:paraId="7E628C2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（四）不可抗力：因自然灾害、意外事故等不可抗力导致无法收回，由单位作出专项说明，并附社会中介机构经济鉴证证明。</w:t>
      </w:r>
    </w:p>
    <w:p w14:paraId="571F9633">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（五）诉讼终结执行：涉诉应收款项，依据法院生效判决书、裁定书判定败诉，或胜诉但因无财产可供执行被裁定终止执行。</w:t>
      </w:r>
    </w:p>
    <w:p w14:paraId="59AD03D2">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（六）逾期三年以上且无业务往来：账龄超过三年，具有依法催收磋商记录，经社会中介机构鉴证确认三年内无任何业务往来的，扣除应付债务人的款项及责任人赔偿后的余额可申请核销。</w:t>
      </w:r>
    </w:p>
    <w:p w14:paraId="76A5AD23">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（七）境外债务人无法收回：债务人在境外，经依法催收仍未收回，三年内无业务往来，取得境外中介机构终止收款意见书或我国驻外使（领）馆商务机构出具的债务人逃亡、破产证明。</w:t>
      </w:r>
    </w:p>
    <w:p w14:paraId="7B9D035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（八）小额款项且清收成本过高：单笔数额不超过1万元（含1万元），且已留存依法催收磋商记录，经核算收回资金不足以弥补清收成本的，由单位作出专项说明或附社会中介机构经济鉴证证明。</w:t>
      </w:r>
    </w:p>
    <w:p w14:paraId="355F5AD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（九）债务人为行政事业单位：债务人为行政事业单位，经核实确实无法收回的，由单位作出专项说明或附社会中介机构经济鉴证证明。</w:t>
      </w:r>
    </w:p>
    <w:p w14:paraId="322A368C">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审批权限：</w:t>
      </w:r>
    </w:p>
    <w:p w14:paraId="56A1954F">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（一）单笔或年度累计核销金额在1万元以下（含1万元）的</w:t>
      </w:r>
      <w:r>
        <w:rPr>
          <w:rFonts w:hint="default" w:ascii="Times New Roman" w:hAnsi="Times New Roman" w:eastAsia="仿宋_GB2312" w:cs="Times New Roman"/>
          <w:color w:val="auto"/>
          <w:spacing w:val="11"/>
          <w:kern w:val="2"/>
          <w:sz w:val="32"/>
          <w:szCs w:val="32"/>
          <w:lang w:val="en-US" w:eastAsia="zh-CN" w:bidi="ar-SA"/>
        </w:rPr>
        <w:t>，由主管部门审批，审批完成</w:t>
      </w:r>
      <w:r>
        <w:rPr>
          <w:rFonts w:hint="default" w:ascii="Times New Roman" w:hAnsi="Times New Roman" w:eastAsia="仿宋_GB2312" w:cs="Times New Roman"/>
          <w:color w:val="auto"/>
          <w:spacing w:val="10"/>
          <w:kern w:val="2"/>
          <w:sz w:val="32"/>
          <w:szCs w:val="32"/>
          <w:lang w:val="en-US" w:eastAsia="zh-CN" w:bidi="ar-SA"/>
        </w:rPr>
        <w:t>后</w:t>
      </w:r>
      <w:r>
        <w:rPr>
          <w:rFonts w:hint="default" w:ascii="Times New Roman" w:hAnsi="Times New Roman" w:eastAsia="仿宋_GB2312" w:cs="Times New Roman"/>
          <w:color w:val="auto"/>
          <w:spacing w:val="-6"/>
          <w:kern w:val="2"/>
          <w:sz w:val="32"/>
          <w:szCs w:val="32"/>
          <w:lang w:val="en-US" w:eastAsia="zh-CN" w:bidi="ar-SA"/>
        </w:rPr>
        <w:t>1</w:t>
      </w:r>
      <w:r>
        <w:rPr>
          <w:rFonts w:hint="default" w:ascii="Times New Roman" w:hAnsi="Times New Roman" w:eastAsia="仿宋_GB2312" w:cs="Times New Roman"/>
          <w:color w:val="auto"/>
          <w:spacing w:val="-68"/>
          <w:kern w:val="2"/>
          <w:sz w:val="32"/>
          <w:szCs w:val="32"/>
          <w:lang w:val="en-US" w:eastAsia="zh-CN" w:bidi="ar-SA"/>
        </w:rPr>
        <w:t>0</w:t>
      </w:r>
      <w:r>
        <w:rPr>
          <w:rFonts w:hint="default" w:ascii="Times New Roman" w:hAnsi="Times New Roman" w:eastAsia="仿宋_GB2312" w:cs="Times New Roman"/>
          <w:color w:val="auto"/>
          <w:spacing w:val="11"/>
          <w:kern w:val="2"/>
          <w:sz w:val="32"/>
          <w:szCs w:val="32"/>
          <w:lang w:val="en-US" w:eastAsia="zh-CN" w:bidi="ar-SA"/>
        </w:rPr>
        <w:t>个工作日内报县财政</w:t>
      </w:r>
      <w:r>
        <w:rPr>
          <w:rFonts w:hint="default" w:ascii="Times New Roman" w:hAnsi="Times New Roman" w:eastAsia="仿宋_GB2312" w:cs="Times New Roman"/>
          <w:color w:val="auto"/>
          <w:spacing w:val="-6"/>
          <w:kern w:val="2"/>
          <w:sz w:val="32"/>
          <w:szCs w:val="32"/>
          <w:lang w:val="en-US" w:eastAsia="zh-CN" w:bidi="ar-SA"/>
        </w:rPr>
        <w:t>局备案。</w:t>
      </w:r>
    </w:p>
    <w:p w14:paraId="2D95ED2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（二）单笔或年度累计核销金额超过1万元，或涉及货币性资产损失核销（如现金、银行存款等），以及虽未超限额但情形特殊的，由主管部门审核后报县财政局审批。</w:t>
      </w:r>
    </w:p>
    <w:p w14:paraId="6896ED5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（三）单笔或年度累计核销金额超过50万元（或县财政局认为需要报批的），由县财政局审核后报县人民政府批准。</w:t>
      </w:r>
    </w:p>
    <w:p w14:paraId="7A5A9B8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（四）无主管部门的单位，直接向县财政局申报，按上述限额由县财政局审批或转报县政府。</w:t>
      </w:r>
    </w:p>
    <w:p w14:paraId="5C090B9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核销程序：</w:t>
      </w:r>
    </w:p>
    <w:p w14:paraId="2373974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（一）清理核实。单位成立由资产、财务、业务、纪检等部门人员组成的清查小组，对拟核销往来款逐笔梳理，查明发生时间、事由、金额、债务人状况、催收记录、挂账原因，取得合法证据。</w:t>
      </w:r>
    </w:p>
    <w:p w14:paraId="48FD008C">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（二）内部论证。组织内部法律、业务、财务等人员进行论证，形成是否确属无法收回的专业意见。必要时可委托律师事务所、会计师事务所出具法律意见书或经济鉴证报告。</w:t>
      </w:r>
    </w:p>
    <w:p w14:paraId="28E7063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（三）集体决策。经单位领导班子集体研究（党组会或办公会），形成书面会议纪要，明确拟核销事项、金额、依据及处理意见。</w:t>
      </w:r>
    </w:p>
    <w:p w14:paraId="5400CE6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（四）逐级申报。</w:t>
      </w:r>
    </w:p>
    <w:p w14:paraId="63625BE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 1. 单位向主管部门提交正式申请文件及全套材料。</w:t>
      </w:r>
    </w:p>
    <w:p w14:paraId="1D83911F">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 2. 主管部门在20个工作日内完成审核。审核内容包括：材料是否齐全、证据是否有效、程序是否合规、金额是否准确。审核通过的，出具审核意见。</w:t>
      </w:r>
    </w:p>
    <w:p w14:paraId="0FBE1A6B">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 3. 需报县财政局审批的，由主管部门以正式公文行文报送；无主管部门的单位直接向县财政局报送。</w:t>
      </w:r>
    </w:p>
    <w:p w14:paraId="36ECD7A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 4. 县财政局自受理申请之日起30个工作日内完成复核，必要时可委托中介机构复审或进行实地核查。</w:t>
      </w:r>
    </w:p>
    <w:p w14:paraId="18E5AFB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 5. 超过县财政局权限的行政事业单位国有资产管理事项，按程序报县政府审批。</w:t>
      </w:r>
    </w:p>
    <w:p w14:paraId="21851FF4">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（五）账务处理。单位依据批复文件，按政府会计制度进行账务核销。核销时冲减对应债权科目，同时严格按照政府会计制度规定确认坏账损失或计入当期费用。</w:t>
      </w:r>
    </w:p>
    <w:p w14:paraId="4C56478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资料归档。所有核销材料（含申报文件、批复、证据材料、会议纪要等）应专项整理，按《会计档案管理办法》要求归档保存，保存期限不少于30年。根据《会计档案管理办法》规定，会计档案的保管期限分为永久、定期两类，定期保管期限一般分为10年和30年，且该办法规定的保管期限为最低保管期限，实际保管时间不得少于该期限。</w:t>
      </w:r>
    </w:p>
    <w:p w14:paraId="3949194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申请往来款核销应提交以下材料（一式三份，单位留存、主管部门、财政部门各一份）：</w:t>
      </w:r>
    </w:p>
    <w:p w14:paraId="784A5441">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（一）申请文件。须为正式公文，标题统一为《关于申请核销XX单位XX往来款项的请示》，文件落款须加盖单位公章并标注成文日期。</w:t>
      </w:r>
    </w:p>
    <w:p w14:paraId="2387F89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（二）往来款项核销清单。格式详见下表，须逐笔完整列明相关信息：</w:t>
      </w:r>
    </w:p>
    <w:p w14:paraId="53D3FBA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（三）核销专项说明。逐笔说明：发生时间、事由、债务人情况、前期催收过程（时间、方式、结果）、无法收回的具体原因、引用政策依据、拟处理方式。须由单位主要负责人签字并加盖单位公章。</w:t>
      </w:r>
    </w:p>
    <w:p w14:paraId="266D2DD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（四）集体决策会议纪要。须提供复印件并加盖单位公章，文件须明确包含会议时间、地点、参会人员、讨论内容、表决结果等核心要素。</w:t>
      </w:r>
    </w:p>
    <w:p w14:paraId="7D1BE2D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五）法律效力外部证据（根据情形提供对应原件或复印件）：1.法院破产公告、破产清算文件、裁定书、终止执行文书；2.市场监管部门撤销/注销/吊销证明；3.政府部门责令关闭文件；4.债务人死亡证明、失踪宣告、遗产不足证明（公安、法院、民政出具）；5.不可抗力事件证明（应急管理、气象、消防等部门出具）及单位专项说明；6.境外中介机构终止收款意见书或使领馆证明。</w:t>
      </w:r>
    </w:p>
    <w:p w14:paraId="5BDBDEE2">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（六）社会中介机构经济鉴证证明或专项审计报告（涉及损失金额认定或情形不明确的）。</w:t>
      </w:r>
    </w:p>
    <w:p w14:paraId="1216BF73">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七）催收记录。包括但不限于：催收函（原件或复印件及挂号信回执、快递单）、短信/微信催收截图（打印并注明日期）、电话催收录音文字整理稿（经单位确认）、上门催收照片或视频截图、律师函、对账单或询证函回函。</w:t>
      </w:r>
    </w:p>
    <w:p w14:paraId="62E8823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（八）债务人身份证明（如工商信息截图、身份证复印件等，无法获取的应说明）。</w:t>
      </w:r>
    </w:p>
    <w:p w14:paraId="3B4D95B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（九）其他辅助材料：合同协议、发票复印件、会计凭证复印件、法律意见书等。</w:t>
      </w:r>
    </w:p>
    <w:p w14:paraId="102D534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（十）承诺函。由单位出具承诺函，承诺所提供材料真实、完</w:t>
      </w:r>
      <w:r>
        <w:rPr>
          <w:rFonts w:hint="default" w:ascii="Times New Roman" w:hAnsi="Times New Roman" w:eastAsia="仿宋_GB2312" w:cs="Times New Roman"/>
          <w:color w:val="auto"/>
          <w:spacing w:val="1"/>
          <w:kern w:val="2"/>
          <w:sz w:val="32"/>
          <w:szCs w:val="32"/>
          <w:lang w:val="en-US" w:eastAsia="zh-CN" w:bidi="ar-SA"/>
        </w:rPr>
        <w:t>整、合法，无隐瞒、无造假，由法定代表人签字并加盖单</w:t>
      </w:r>
      <w:r>
        <w:rPr>
          <w:rFonts w:hint="default" w:ascii="Times New Roman" w:hAnsi="Times New Roman" w:eastAsia="仿宋_GB2312" w:cs="Times New Roman"/>
          <w:color w:val="auto"/>
          <w:spacing w:val="-6"/>
          <w:kern w:val="2"/>
          <w:sz w:val="32"/>
          <w:szCs w:val="32"/>
          <w:lang w:val="en-US" w:eastAsia="zh-CN" w:bidi="ar-SA"/>
        </w:rPr>
        <w:t>位公章。</w:t>
      </w:r>
    </w:p>
    <w:p w14:paraId="3EE912CD">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账销案存管理：</w:t>
      </w:r>
    </w:p>
    <w:p w14:paraId="716450E7">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（一）经批准核销的应收款项，实行“账销案存”，单位应设立备查台账（电子或纸质），登记内容包括：核销批准文号、债务人信息、核销金额、核销日期、后续追索责任人、追索记录。</w:t>
      </w:r>
    </w:p>
    <w:p w14:paraId="394214B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（二）按照“谁经手业务谁负责催收”的原则指定专人负责继续追索，每半年至少进行一次催收，且在对债务人催收的同时也</w:t>
      </w:r>
      <w:r>
        <w:rPr>
          <w:rFonts w:hint="default" w:ascii="Times New Roman" w:hAnsi="Times New Roman" w:eastAsia="仿宋_GB2312" w:cs="Times New Roman"/>
          <w:color w:val="auto"/>
          <w:spacing w:val="1"/>
          <w:kern w:val="2"/>
          <w:sz w:val="32"/>
          <w:szCs w:val="32"/>
          <w:lang w:val="en-US" w:eastAsia="zh-CN" w:bidi="ar-SA"/>
        </w:rPr>
        <w:t>应对担保人进行催收，并将催收情况报主管部门和县财政</w:t>
      </w:r>
      <w:r>
        <w:rPr>
          <w:rFonts w:hint="default" w:ascii="Times New Roman" w:hAnsi="Times New Roman" w:eastAsia="仿宋_GB2312" w:cs="Times New Roman"/>
          <w:color w:val="auto"/>
          <w:spacing w:val="-6"/>
          <w:kern w:val="2"/>
          <w:sz w:val="32"/>
          <w:szCs w:val="32"/>
          <w:lang w:val="en-US" w:eastAsia="zh-CN" w:bidi="ar-SA"/>
        </w:rPr>
        <w:t>局备案。</w:t>
      </w:r>
    </w:p>
    <w:p w14:paraId="68F2CFC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（三）后续收回：核销后若收回款项，应按政府会计制度及时入账，上缴国库或纳入单位收入管理，不得账外循环。收回后5个工作日内书面报告主管部门及县财政局。</w:t>
      </w:r>
    </w:p>
    <w:p w14:paraId="785C9392">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（四）定期复核：每年年末对备查台账开展一次全面复核，对可能重新具备偿还能力的债务人，应立即恢复追索程序并依法主张债权。</w:t>
      </w:r>
    </w:p>
    <w:p w14:paraId="68183306">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监督检查与责任追究：</w:t>
      </w:r>
    </w:p>
    <w:p w14:paraId="0F4F2C7F">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一）主管部门应定期对单位往来款核销情况进行专项检查，其中主管部门每季度检查不少于1次。检查过程中可先通过财务软件查询相关往来科目，再重点核查核销依据是否充分、程序是否合规、后续管理是否到位，同时可借助内外部审计报告的成果提升检查效率。</w:t>
      </w:r>
    </w:p>
    <w:p w14:paraId="4A7F41B9">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二）单位在往来款核销过程中存在故意瞒报、弄虚作假、提供虚假资料、串通中介机构出具虚假报告等违规情形的，由县财政局责令改正，追回已核销款项，并依据《中华人民共和国会计法》《财政违法行为处罚处分条例》等规定对单位及相关责任人给予处理；构成犯罪的，移送司法机关。</w:t>
      </w:r>
    </w:p>
    <w:p w14:paraId="4AD0005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（三）社会中介机构出具虚假鉴证证明的，由县财政局通报相关行业主管部门依法查处，并将结果抄送省财政厅。</w:t>
      </w:r>
    </w:p>
    <w:p w14:paraId="7C26A6C8">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（四）主管部门、财政部门工作人员在审批中滥用职权、玩忽职守、徇私舞弊的，依法依规给予处分。</w:t>
      </w:r>
    </w:p>
    <w:p w14:paraId="743B80E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其他：</w:t>
      </w:r>
    </w:p>
    <w:p w14:paraId="38BE5C6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执行企业财务、会计制度的事业单位，其往来款核销不适用本办法。应付款项中确无需支付的，核销程序参照应收款项执行，但应说明无需支付的原因（如债权人注销、超过诉讼时效且无追索等）。核销事项需按规定报经主管部门和财政部门批准（具体批准权限根据管理情况及财政部门对主管部门的授权确定），核销的应付款项应在备查簿中保留登记，按会计科目及客户设置明细科目，登记核销时间、核销批准的部门等信息。</w:t>
      </w:r>
    </w:p>
    <w:p w14:paraId="2AB35072">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1975EA91">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 xml:space="preserve">第四章 </w:t>
      </w:r>
      <w:r>
        <w:rPr>
          <w:rFonts w:hint="eastAsia" w:ascii="Times New Roman" w:hAnsi="Times New Roman" w:eastAsia="黑体" w:cs="Times New Roman"/>
          <w:bCs/>
          <w:spacing w:val="-6"/>
          <w:kern w:val="44"/>
          <w:sz w:val="32"/>
          <w:szCs w:val="32"/>
          <w:lang w:val="en-US" w:eastAsia="zh-CN" w:bidi="ar-SA"/>
        </w:rPr>
        <w:t xml:space="preserve"> </w:t>
      </w:r>
      <w:r>
        <w:rPr>
          <w:rFonts w:hint="default" w:ascii="Times New Roman" w:hAnsi="Times New Roman" w:eastAsia="黑体" w:cs="Times New Roman"/>
          <w:bCs/>
          <w:spacing w:val="-6"/>
          <w:kern w:val="44"/>
          <w:sz w:val="32"/>
          <w:szCs w:val="32"/>
          <w:lang w:bidi="ar-SA"/>
        </w:rPr>
        <w:t>处置收入</w:t>
      </w:r>
    </w:p>
    <w:p w14:paraId="1489ABDD">
      <w:pPr>
        <w:numPr>
          <w:ilvl w:val="0"/>
          <w:numId w:val="0"/>
        </w:numPr>
        <w:adjustRightInd w:val="0"/>
        <w:snapToGrid w:val="0"/>
        <w:spacing w:line="576" w:lineRule="exact"/>
        <w:ind w:firstLine="616" w:firstLineChars="200"/>
        <w:rPr>
          <w:rFonts w:hint="default" w:ascii="Times New Roman" w:hAnsi="Times New Roman" w:eastAsia="仿宋" w:cs="Times New Roman"/>
          <w:color w:val="auto"/>
          <w:spacing w:val="-6"/>
          <w:sz w:val="32"/>
          <w:szCs w:val="32"/>
        </w:rPr>
      </w:pPr>
    </w:p>
    <w:p w14:paraId="77C51B80">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第三十九条 </w:t>
      </w:r>
      <w:r>
        <w:rPr>
          <w:rFonts w:hint="default" w:ascii="Times New Roman" w:hAnsi="Times New Roman" w:eastAsia="仿宋_GB2312" w:cs="Times New Roman"/>
          <w:color w:val="auto"/>
          <w:spacing w:val="-6"/>
          <w:kern w:val="2"/>
          <w:sz w:val="32"/>
          <w:szCs w:val="32"/>
          <w:lang w:val="en-US" w:eastAsia="zh-CN" w:bidi="ar-SA"/>
        </w:rPr>
        <w:t xml:space="preserve"> 处置收入是指在转让、置换、报废等处置国有资产过程中获得的收入，包括转让资产收入、置换差价收入、拆迁补偿收入、报废报损残值变现收入、保险理赔收入、转让土地使用权收益、所办一级企业的清算收入等。</w:t>
      </w:r>
    </w:p>
    <w:p w14:paraId="2700F815">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第四十条 </w:t>
      </w:r>
      <w:r>
        <w:rPr>
          <w:rFonts w:hint="default" w:ascii="Times New Roman" w:hAnsi="Times New Roman" w:eastAsia="仿宋_GB2312" w:cs="Times New Roman"/>
          <w:color w:val="auto"/>
          <w:spacing w:val="-6"/>
          <w:kern w:val="2"/>
          <w:sz w:val="32"/>
          <w:szCs w:val="32"/>
          <w:lang w:val="en-US" w:eastAsia="zh-CN" w:bidi="ar-SA"/>
        </w:rPr>
        <w:t xml:space="preserve"> 除国家和省另有规定外，行政事业性国有资产处置收入，按照政府非税收入和国库集中收缴制度的有关规定管理。</w:t>
      </w:r>
    </w:p>
    <w:p w14:paraId="5E08268E">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纳入部门预算管理的行政事业单位取得的国有资产处置收入，在扣除税金、资产评估费等相关费用后，按照有关规定及时上缴财政，实行收支两条线管理；未纳入部门预算管理的事业单位国有资产处置收入，纳入单位预算，统一核算，统一管理。</w:t>
      </w:r>
    </w:p>
    <w:p w14:paraId="05EFDACF">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27CF1BD6">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第五章  监督检查</w:t>
      </w:r>
    </w:p>
    <w:p w14:paraId="35D0A286">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2" w:firstLineChars="200"/>
        <w:jc w:val="left"/>
        <w:textAlignment w:val="baseline"/>
        <w:rPr>
          <w:rFonts w:hint="default" w:ascii="Times New Roman" w:hAnsi="Times New Roman" w:eastAsia="宋体" w:cs="Times New Roman"/>
          <w:b/>
          <w:bCs/>
          <w:color w:val="auto"/>
          <w:spacing w:val="0"/>
          <w:w w:val="100"/>
          <w:kern w:val="2"/>
          <w:sz w:val="28"/>
          <w:szCs w:val="32"/>
          <w:lang w:val="en-US" w:eastAsia="zh-CN" w:bidi="ar-SA"/>
        </w:rPr>
      </w:pPr>
    </w:p>
    <w:p w14:paraId="3B24C696">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第四十一条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 xml:space="preserve"> 县财政局对县机关事务管理部门、主管部门按照职责权限审批的行政事业单位国有资产处置情况进行指导监督，联合相关部门，通过调取系统数据、查阅台账、实地走访、核对实物等方式，重点核查待处置资产的登记、评估及处置流程的合规性、账实一致性等内容，对全县行政事业单位国有资产处置情况开展全面监督检查，进一步规范资产处置程序，防范国有资产流失风险。</w:t>
      </w:r>
    </w:p>
    <w:p w14:paraId="1ABBC9FC">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第四十二条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 xml:space="preserve"> 县机关事务管理部门、主管部门应当按照统一监管、分级审批的管理机制，建立国有资产处置管理制度，明确岗位职责，完善处置流程，定期或不定期对相关行政事业单位国有资产处置情况进行监督检查，督促其落实对占有、使用国有资产的管理主体责任，建立和完善国有资产内部控制管理制度，并对发现的问题及时整改。</w:t>
      </w:r>
    </w:p>
    <w:p w14:paraId="4E936AEE">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第四十三条</w:t>
      </w:r>
      <w:r>
        <w:rPr>
          <w:rFonts w:hint="default" w:ascii="Times New Roman" w:hAnsi="Times New Roman" w:eastAsia="仿宋_GB2312" w:cs="Times New Roman"/>
          <w:color w:val="auto"/>
          <w:spacing w:val="-6"/>
          <w:kern w:val="2"/>
          <w:sz w:val="32"/>
          <w:szCs w:val="32"/>
          <w:lang w:val="en-US" w:eastAsia="zh-CN" w:bidi="ar-SA"/>
        </w:rPr>
        <w:t xml:space="preserve">  行政事业单位应当切实落实国有资产处置管理主</w:t>
      </w:r>
      <w:r>
        <w:rPr>
          <w:rFonts w:hint="default" w:ascii="Times New Roman" w:hAnsi="Times New Roman" w:eastAsia="仿宋_GB2312" w:cs="Times New Roman"/>
          <w:color w:val="auto"/>
          <w:spacing w:val="1"/>
          <w:kern w:val="2"/>
          <w:sz w:val="32"/>
          <w:szCs w:val="32"/>
          <w:lang w:val="en-US" w:eastAsia="zh-CN" w:bidi="ar-SA"/>
        </w:rPr>
        <w:t>体责任，建立健全全流程内部控制制度，主动接受各类监</w:t>
      </w:r>
      <w:r>
        <w:rPr>
          <w:rFonts w:hint="default" w:ascii="Times New Roman" w:hAnsi="Times New Roman" w:eastAsia="仿宋_GB2312" w:cs="Times New Roman"/>
          <w:color w:val="auto"/>
          <w:spacing w:val="-6"/>
          <w:kern w:val="2"/>
          <w:sz w:val="32"/>
          <w:szCs w:val="32"/>
          <w:lang w:val="en-US" w:eastAsia="zh-CN" w:bidi="ar-SA"/>
        </w:rPr>
        <w:t>督检查。</w:t>
      </w:r>
    </w:p>
    <w:p w14:paraId="576012E6">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第四十四条</w:t>
      </w:r>
      <w:r>
        <w:rPr>
          <w:rFonts w:hint="default" w:ascii="Times New Roman" w:hAnsi="Times New Roman" w:eastAsia="仿宋_GB2312" w:cs="Times New Roman"/>
          <w:color w:val="auto"/>
          <w:spacing w:val="-6"/>
          <w:kern w:val="2"/>
          <w:sz w:val="32"/>
          <w:szCs w:val="32"/>
          <w:lang w:val="en-US" w:eastAsia="zh-CN" w:bidi="ar-SA"/>
        </w:rPr>
        <w:t xml:space="preserve">  县财政局、县机关事务管理部门、主管部门、行政事业单位及其工作人员在国有资产处置过程中违反本办法规定，以及存在其他滥用职权、玩忽职守、徇私舞弊等违规违纪违法行为的，按照《中华人民共和国公务员法》《中华人民共和国预算法》《财政违法行为处罚处分条例》《行政事业性国有资</w:t>
      </w:r>
      <w:r>
        <w:rPr>
          <w:rFonts w:hint="default" w:ascii="Times New Roman" w:hAnsi="Times New Roman" w:eastAsia="仿宋_GB2312" w:cs="Times New Roman"/>
          <w:color w:val="auto"/>
          <w:spacing w:val="1"/>
          <w:kern w:val="2"/>
          <w:sz w:val="32"/>
          <w:szCs w:val="32"/>
          <w:lang w:val="en-US" w:eastAsia="zh-CN" w:bidi="ar-SA"/>
        </w:rPr>
        <w:t>产管理条例》等有关规定处理；涉嫌犯罪的，移送有权机</w:t>
      </w:r>
      <w:r>
        <w:rPr>
          <w:rFonts w:hint="default" w:ascii="Times New Roman" w:hAnsi="Times New Roman" w:eastAsia="仿宋_GB2312" w:cs="Times New Roman"/>
          <w:color w:val="auto"/>
          <w:spacing w:val="-6"/>
          <w:kern w:val="2"/>
          <w:sz w:val="32"/>
          <w:szCs w:val="32"/>
          <w:lang w:val="en-US" w:eastAsia="zh-CN" w:bidi="ar-SA"/>
        </w:rPr>
        <w:t>关处理。</w:t>
      </w:r>
    </w:p>
    <w:p w14:paraId="297C03B6">
      <w:pPr>
        <w:keepNext w:val="0"/>
        <w:keepLines w:val="0"/>
        <w:pageBreakBefore w:val="0"/>
        <w:widowControl w:val="0"/>
        <w:kinsoku/>
        <w:wordWrap/>
        <w:overflowPunct w:val="0"/>
        <w:topLinePunct w:val="0"/>
        <w:autoSpaceDE/>
        <w:autoSpaceDN/>
        <w:bidi w:val="0"/>
        <w:adjustRightInd w:val="0"/>
        <w:snapToGrid/>
        <w:spacing w:beforeAutospacing="0" w:afterAutospacing="0" w:line="360" w:lineRule="auto"/>
        <w:ind w:left="0" w:leftChars="0" w:right="0" w:rightChars="0" w:firstLine="560" w:firstLineChars="200"/>
        <w:jc w:val="left"/>
        <w:textAlignment w:val="baseline"/>
        <w:rPr>
          <w:rFonts w:hint="default" w:ascii="Times New Roman" w:hAnsi="Times New Roman" w:eastAsia="宋体" w:cs="Times New Roman"/>
          <w:color w:val="auto"/>
          <w:spacing w:val="0"/>
          <w:w w:val="100"/>
          <w:sz w:val="28"/>
          <w:szCs w:val="32"/>
        </w:rPr>
      </w:pPr>
    </w:p>
    <w:p w14:paraId="66775296">
      <w:pPr>
        <w:widowControl w:val="0"/>
        <w:spacing w:line="560" w:lineRule="exact"/>
        <w:jc w:val="center"/>
        <w:outlineLvl w:val="0"/>
        <w:rPr>
          <w:rFonts w:hint="default" w:ascii="Times New Roman" w:hAnsi="Times New Roman" w:eastAsia="黑体" w:cs="Times New Roman"/>
          <w:bCs/>
          <w:spacing w:val="-6"/>
          <w:kern w:val="44"/>
          <w:sz w:val="32"/>
          <w:szCs w:val="32"/>
          <w:lang w:bidi="ar-SA"/>
        </w:rPr>
      </w:pPr>
      <w:r>
        <w:rPr>
          <w:rFonts w:hint="default" w:ascii="Times New Roman" w:hAnsi="Times New Roman" w:eastAsia="黑体" w:cs="Times New Roman"/>
          <w:bCs/>
          <w:spacing w:val="-6"/>
          <w:kern w:val="44"/>
          <w:sz w:val="32"/>
          <w:szCs w:val="32"/>
          <w:lang w:bidi="ar-SA"/>
        </w:rPr>
        <w:t>第六章  附  则</w:t>
      </w:r>
    </w:p>
    <w:p w14:paraId="232FAFCD">
      <w:pPr>
        <w:adjustRightInd w:val="0"/>
        <w:snapToGrid w:val="0"/>
        <w:spacing w:line="576" w:lineRule="exact"/>
        <w:ind w:firstLine="616" w:firstLineChars="200"/>
        <w:rPr>
          <w:rFonts w:hint="default" w:ascii="Times New Roman" w:hAnsi="Times New Roman" w:eastAsia="仿宋" w:cs="Times New Roman"/>
          <w:color w:val="auto"/>
          <w:spacing w:val="-6"/>
          <w:sz w:val="32"/>
          <w:szCs w:val="32"/>
        </w:rPr>
      </w:pPr>
    </w:p>
    <w:p w14:paraId="79BD29BA">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第四十五条 </w:t>
      </w:r>
      <w:r>
        <w:rPr>
          <w:rFonts w:hint="default" w:ascii="Times New Roman" w:hAnsi="Times New Roman" w:eastAsia="仿宋_GB2312" w:cs="Times New Roman"/>
          <w:color w:val="auto"/>
          <w:spacing w:val="-6"/>
          <w:kern w:val="2"/>
          <w:sz w:val="32"/>
          <w:szCs w:val="32"/>
          <w:lang w:val="en-US" w:eastAsia="zh-CN" w:bidi="ar-SA"/>
        </w:rPr>
        <w:t xml:space="preserve"> 除国家和省另有规定外，由社会组织直接支配的行政事业性国有资产，以及脱钩后行业协会、商会继续使用的行政事业性国有资产，其处置管理参照本办法执行。</w:t>
      </w:r>
    </w:p>
    <w:p w14:paraId="58AB66C5">
      <w:pPr>
        <w:widowControl/>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执行企业财务、会计制度的事业单位，其国有资产处置按照企业国有资产管理有关规定执行，不适用本办法。</w:t>
      </w:r>
    </w:p>
    <w:p w14:paraId="4D4542F1">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第四十六条  </w:t>
      </w:r>
      <w:r>
        <w:rPr>
          <w:rFonts w:hint="default" w:ascii="Times New Roman" w:hAnsi="Times New Roman" w:eastAsia="仿宋_GB2312" w:cs="Times New Roman"/>
          <w:color w:val="auto"/>
          <w:spacing w:val="-6"/>
          <w:kern w:val="2"/>
          <w:sz w:val="32"/>
          <w:szCs w:val="32"/>
          <w:lang w:val="en-US" w:eastAsia="zh-CN" w:bidi="ar-SA"/>
        </w:rPr>
        <w:t>公共基础设施、政府储备物资、国有文物文化资产、保障性住房等行政事业性国有资产（上述资产属于行政事业性国有资产范畴，具体包含于行政单位、事业单位通过使用财政资金、接受调拨划转等方式取得的国有资产中）处置，以及行政事业单位境外国有资产处置，按照《行政事业性国有资产管理条例》以及各地制定的行政事业单位国有资产管理办法等有关规定执行。</w:t>
      </w:r>
    </w:p>
    <w:p w14:paraId="6BC20FDD">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 xml:space="preserve">第四十七条 </w:t>
      </w:r>
      <w:r>
        <w:rPr>
          <w:rFonts w:hint="default" w:ascii="Times New Roman" w:hAnsi="Times New Roman" w:eastAsia="仿宋_GB2312" w:cs="Times New Roman"/>
          <w:color w:val="auto"/>
          <w:spacing w:val="-6"/>
          <w:kern w:val="2"/>
          <w:sz w:val="32"/>
          <w:szCs w:val="32"/>
          <w:lang w:val="en-US" w:eastAsia="zh-CN" w:bidi="ar-SA"/>
        </w:rPr>
        <w:t xml:space="preserve"> 行政事业单位货币性资产损失核销，按照预算及财务管理有关规定执行。</w:t>
      </w:r>
    </w:p>
    <w:p w14:paraId="4B786172">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第四十八条</w:t>
      </w:r>
      <w:r>
        <w:rPr>
          <w:rFonts w:hint="default" w:ascii="Times New Roman" w:hAnsi="Times New Roman" w:eastAsia="仿宋_GB2312" w:cs="Times New Roman"/>
          <w:color w:val="auto"/>
          <w:spacing w:val="-6"/>
          <w:kern w:val="2"/>
          <w:sz w:val="32"/>
          <w:szCs w:val="32"/>
          <w:lang w:val="en-US" w:eastAsia="zh-CN" w:bidi="ar-SA"/>
        </w:rPr>
        <w:t xml:space="preserve">  行政事业单位涉及国家安全和秘密的国有资产处置，应当符合国家有关保密制度的规定和要求。涉及废弃电</w:t>
      </w:r>
      <w:r>
        <w:rPr>
          <w:rFonts w:hint="default" w:ascii="Times New Roman" w:hAnsi="Times New Roman" w:eastAsia="仿宋_GB2312" w:cs="Times New Roman"/>
          <w:color w:val="auto"/>
          <w:spacing w:val="1"/>
          <w:kern w:val="2"/>
          <w:sz w:val="32"/>
          <w:szCs w:val="32"/>
          <w:lang w:val="en-US" w:eastAsia="zh-CN" w:bidi="ar-SA"/>
        </w:rPr>
        <w:t>器电子类的资产处置，应当符合国家有关环保制度的规定</w:t>
      </w:r>
      <w:r>
        <w:rPr>
          <w:rFonts w:hint="default" w:ascii="Times New Roman" w:hAnsi="Times New Roman" w:eastAsia="仿宋_GB2312" w:cs="Times New Roman"/>
          <w:color w:val="auto"/>
          <w:spacing w:val="-6"/>
          <w:kern w:val="2"/>
          <w:sz w:val="32"/>
          <w:szCs w:val="32"/>
          <w:lang w:val="en-US" w:eastAsia="zh-CN" w:bidi="ar-SA"/>
        </w:rPr>
        <w:t>和要求。</w:t>
      </w:r>
    </w:p>
    <w:p w14:paraId="61FFD353">
      <w:pPr>
        <w:widowControl/>
        <w:adjustRightInd w:val="0"/>
        <w:snapToGrid w:val="0"/>
        <w:spacing w:line="560" w:lineRule="exact"/>
        <w:ind w:firstLine="619"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b/>
          <w:color w:val="auto"/>
          <w:spacing w:val="-6"/>
          <w:kern w:val="2"/>
          <w:sz w:val="32"/>
          <w:szCs w:val="32"/>
          <w:lang w:val="en-US" w:eastAsia="zh-CN" w:bidi="ar-SA"/>
        </w:rPr>
        <w:t>第四十九条</w:t>
      </w:r>
      <w:r>
        <w:rPr>
          <w:rFonts w:hint="default" w:ascii="Times New Roman" w:hAnsi="Times New Roman" w:eastAsia="仿宋_GB2312" w:cs="Times New Roman"/>
          <w:b w:val="0"/>
          <w:color w:val="auto"/>
          <w:spacing w:val="-6"/>
          <w:kern w:val="2"/>
          <w:sz w:val="32"/>
          <w:szCs w:val="32"/>
          <w:lang w:val="en-US" w:eastAsia="zh-CN" w:bidi="ar-SA"/>
        </w:rPr>
        <w:t xml:space="preserve">  </w:t>
      </w:r>
      <w:r>
        <w:rPr>
          <w:rFonts w:hint="default" w:ascii="Times New Roman" w:hAnsi="Times New Roman" w:eastAsia="仿宋_GB2312" w:cs="Times New Roman"/>
          <w:color w:val="auto"/>
          <w:spacing w:val="-6"/>
          <w:kern w:val="2"/>
          <w:sz w:val="32"/>
          <w:szCs w:val="32"/>
          <w:lang w:val="en-US" w:eastAsia="zh-CN" w:bidi="ar-SA"/>
        </w:rPr>
        <w:t>本办法自印发之日起施行。此前印发的有关行政事业单位国有资产处置管理规定与本办法不一致的，以本办法为准。</w:t>
      </w:r>
    </w:p>
    <w:p w14:paraId="2DF1B36D">
      <w:pPr>
        <w:widowControl/>
        <w:pBdr>
          <w:top w:val="none" w:color="auto" w:sz="0" w:space="0"/>
          <w:left w:val="none" w:color="auto" w:sz="0" w:space="0"/>
          <w:bottom w:val="none" w:color="auto" w:sz="0" w:space="0"/>
          <w:right w:val="none" w:color="auto" w:sz="0" w:space="0"/>
        </w:pBdr>
        <w:adjustRightInd w:val="0"/>
        <w:snapToGrid w:val="0"/>
        <w:spacing w:line="560" w:lineRule="exact"/>
        <w:ind w:left="1546" w:hanging="927" w:firstLineChars="0"/>
        <w:jc w:val="both"/>
        <w:rPr>
          <w:rFonts w:hint="default" w:ascii="Times New Roman" w:hAnsi="Times New Roman" w:eastAsia="仿宋" w:cs="Times New Roman"/>
          <w:color w:val="auto"/>
          <w:spacing w:val="-6"/>
          <w:sz w:val="32"/>
          <w:szCs w:val="32"/>
        </w:rPr>
        <w:sectPr>
          <w:footerReference r:id="rId4" w:type="default"/>
          <w:footerReference r:id="rId5" w:type="even"/>
          <w:pgSz w:w="11916" w:h="16848"/>
          <w:pgMar w:top="2098" w:right="1474" w:bottom="1984" w:left="1587" w:header="851" w:footer="1417" w:gutter="0"/>
          <w:pgBorders>
            <w:top w:val="none" w:sz="0" w:space="0"/>
            <w:left w:val="none" w:sz="0" w:space="0"/>
            <w:bottom w:val="none" w:sz="0" w:space="0"/>
            <w:right w:val="none" w:sz="0" w:space="0"/>
          </w:pgBorders>
          <w:pgNumType w:fmt="decimal" w:start="1"/>
          <w:cols w:space="720" w:num="1"/>
        </w:sectPr>
      </w:pPr>
      <mc:AlternateContent>
        <mc:Choice Requires="wpsCustomData">
          <wpsCustomData:docfieldStart id="1" docfieldname="附件说明_2" hidden="0" print="1" readonly="0" index="19"/>
        </mc:Choice>
      </mc:AlternateContent>
      <w:r>
        <w:rPr>
          <w:rFonts w:hint="default" w:ascii="Times New Roman" w:hAnsi="Times New Roman" w:eastAsia="仿宋_GB2312" w:cs="Times New Roman"/>
          <w:b/>
          <w:i w:val="0"/>
          <w:color w:val="auto"/>
          <w:spacing w:val="-6"/>
          <w:kern w:val="2"/>
          <w:sz w:val="32"/>
          <w:szCs w:val="32"/>
          <w:lang w:val="en-US" w:eastAsia="zh-CN" w:bidi="ar-SA"/>
        </w:rPr>
        <w:t>附件：资产处置相</w:t>
      </w:r>
      <w:bookmarkStart w:id="1" w:name="_GoBack"/>
      <w:bookmarkEnd w:id="1"/>
      <w:r>
        <w:rPr>
          <w:rFonts w:hint="default" w:ascii="Times New Roman" w:hAnsi="Times New Roman" w:eastAsia="仿宋_GB2312" w:cs="Times New Roman"/>
          <w:b/>
          <w:i w:val="0"/>
          <w:color w:val="auto"/>
          <w:spacing w:val="-6"/>
          <w:kern w:val="2"/>
          <w:sz w:val="32"/>
          <w:szCs w:val="32"/>
          <w:lang w:val="en-US" w:eastAsia="zh-CN" w:bidi="ar-SA"/>
        </w:rPr>
        <w:t>关表格及文本样稿</w:t>
      </w:r>
      <mc:AlternateContent>
        <mc:Choice Requires="wpsCustomData">
          <wpsCustomData:docfieldEnd id="1"/>
        </mc:Choice>
      </mc:AlternateContent>
    </w:p>
    <w:p w14:paraId="57AB1DAB">
      <w:pPr>
        <w:widowControl/>
        <w:overflowPunct w:val="0"/>
        <w:topLinePunct/>
        <w:spacing w:line="560" w:lineRule="exact"/>
        <w:jc w:val="left"/>
        <w:outlineLvl w:val="0"/>
        <w:rPr>
          <w:rFonts w:hint="default" w:ascii="Times New Roman" w:hAnsi="Times New Roman" w:eastAsia="黑体" w:cs="Times New Roman"/>
          <w:sz w:val="32"/>
          <w:szCs w:val="32"/>
        </w:rPr>
      </w:pPr>
      <mc:AlternateContent>
        <mc:Choice Requires="wpsCustomData">
          <wpsCustomData:docfieldStart id="2" docfieldname="附件_2" hidden="0" print="1" readonly="0" index="2"/>
        </mc:Choice>
      </mc:AlternateContent>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附件1</w:t>
      </w:r>
    </w:p>
    <w:p w14:paraId="7B532288">
      <w:pPr>
        <w:widowControl w:val="0"/>
        <w:bidi w:val="0"/>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p>
    <w:p w14:paraId="21570496">
      <w:pPr>
        <w:bidi w:val="0"/>
        <w:spacing w:line="720" w:lineRule="exact"/>
        <w:jc w:val="center"/>
        <w:outlineLvl w:val="9"/>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关于处置部分国有资产的请示（范本）</w:t>
      </w:r>
      <mc:AlternateContent>
        <mc:Choice Requires="wpsCustomData">
          <wpsCustomData:docfieldEnd id="2"/>
        </mc:Choice>
      </mc:AlternateContent>
    </w:p>
    <w:p w14:paraId="5F9763C0">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spacing w:before="0" w:beforeAutospacing="0" w:after="0" w:afterAutospacing="0" w:line="360" w:lineRule="auto"/>
        <w:ind w:left="0" w:leftChars="0" w:right="0" w:rightChars="0" w:firstLine="562" w:firstLineChars="200"/>
        <w:jc w:val="left"/>
        <w:rPr>
          <w:rFonts w:hint="default" w:ascii="Times New Roman" w:hAnsi="Times New Roman" w:eastAsia="宋体" w:cs="Times New Roman"/>
          <w:b/>
          <w:bCs/>
          <w:i w:val="0"/>
          <w:iCs w:val="0"/>
          <w:caps w:val="0"/>
          <w:color w:val="auto"/>
          <w:spacing w:val="0"/>
          <w:kern w:val="2"/>
          <w:sz w:val="28"/>
          <w:szCs w:val="44"/>
          <w:lang w:val="en-US" w:eastAsia="zh-CN" w:bidi="ar-SA"/>
        </w:rPr>
      </w:pPr>
    </w:p>
    <w:p w14:paraId="1807986D">
      <w:pPr>
        <w:widowControl/>
        <w:spacing w:line="720" w:lineRule="exact"/>
        <w:jc w:val="center"/>
        <w:outlineLvl w:val="9"/>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关于处置部分国有资产的请示</w:t>
      </w:r>
    </w:p>
    <w:p w14:paraId="6A9EC59B">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spacing w:before="0" w:beforeAutospacing="0" w:after="0" w:afterAutospacing="0" w:line="360" w:lineRule="auto"/>
        <w:ind w:left="0" w:leftChars="0" w:right="0" w:rightChars="0" w:firstLine="560" w:firstLineChars="200"/>
        <w:jc w:val="left"/>
        <w:rPr>
          <w:rFonts w:hint="default" w:ascii="Times New Roman" w:hAnsi="Times New Roman" w:eastAsia="宋体" w:cs="Times New Roman"/>
          <w:i w:val="0"/>
          <w:iCs w:val="0"/>
          <w:caps w:val="0"/>
          <w:color w:val="auto"/>
          <w:spacing w:val="0"/>
          <w:kern w:val="2"/>
          <w:sz w:val="28"/>
          <w:szCs w:val="32"/>
          <w:lang w:val="en-US" w:eastAsia="zh-CN" w:bidi="ar-SA"/>
        </w:rPr>
      </w:pPr>
    </w:p>
    <w:p w14:paraId="02BB7F6D">
      <w:pPr>
        <w:widowControl/>
        <w:pBdr>
          <w:top w:val="none" w:color="auto" w:sz="0" w:space="0"/>
          <w:left w:val="none" w:color="auto" w:sz="0" w:space="0"/>
          <w:bottom w:val="none" w:color="auto" w:sz="0" w:space="0"/>
          <w:right w:val="none" w:color="auto" w:sz="0" w:space="0"/>
        </w:pBdr>
        <w:spacing w:line="560" w:lineRule="exact"/>
        <w:rPr>
          <w:rFonts w:hint="default" w:ascii="Times New Roman" w:hAnsi="Times New Roman" w:eastAsia="仿宋_GB2312" w:cs="Times New Roman"/>
          <w:color w:val="auto"/>
          <w:sz w:val="32"/>
          <w:szCs w:val="32"/>
        </w:rPr>
      </w:pPr>
      <mc:AlternateContent>
        <mc:Choice Requires="wpsCustomData">
          <wpsCustomData:docfieldStart id="3" docfieldname="主送机关_4" hidden="0" print="1" readonly="0" index="11"/>
        </mc:Choice>
      </mc:AlternateContent>
      <w:r>
        <w:rPr>
          <w:rFonts w:hint="default" w:ascii="Times New Roman" w:hAnsi="Times New Roman" w:eastAsia="仿宋_GB2312" w:cs="Times New Roman"/>
          <w:i w:val="0"/>
          <w:color w:val="auto"/>
          <w:sz w:val="32"/>
          <w:szCs w:val="32"/>
        </w:rPr>
        <w:t>灌云县财政局</w:t>
      </w:r>
      <mc:AlternateContent>
        <mc:Choice Requires="wpsCustomData">
          <wpsCustomData:docfieldEnd id="3"/>
        </mc:Choice>
      </mc:AlternateContent>
      <w:r>
        <w:rPr>
          <w:rFonts w:hint="default" w:ascii="Times New Roman" w:hAnsi="Times New Roman" w:eastAsia="仿宋_GB2312" w:cs="Times New Roman"/>
          <w:i w:val="0"/>
          <w:color w:val="auto"/>
          <w:sz w:val="32"/>
          <w:szCs w:val="32"/>
        </w:rPr>
        <w:t>：</w:t>
      </w:r>
    </w:p>
    <w:p w14:paraId="722B87C9">
      <w:pPr>
        <w:widowControl/>
        <w:pBdr>
          <w:top w:val="none" w:color="auto" w:sz="0" w:space="0"/>
          <w:left w:val="none" w:color="auto" w:sz="0" w:space="0"/>
          <w:bottom w:val="none" w:color="auto" w:sz="0" w:space="0"/>
          <w:right w:val="none" w:color="auto" w:sz="0" w:space="0"/>
        </w:pBdr>
        <w:adjustRightInd w:val="0"/>
        <w:snapToGrid w:val="0"/>
        <w:spacing w:line="560" w:lineRule="exact"/>
        <w:ind w:firstLine="616" w:firstLineChars="200"/>
        <w:jc w:val="both"/>
        <w:rPr>
          <w:rFonts w:hint="default" w:ascii="Times New Roman" w:hAnsi="Times New Roman" w:eastAsia="仿宋_GB2312" w:cs="Times New Roman"/>
          <w:i w:val="0"/>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我单位资产管理部门会同财务等相关部门，已完成对各使用部门提交的国有资产处置申请的审核鉴定工作，现特向贵局申报处置该批资产。处置资产名称＿＿＿＿＿＿＿＿，数量＿＿＿＿＿＿＿＿，账面价值＿＿＿＿＿＿＿＿元。处置理由：</w:t>
      </w:r>
    </w:p>
    <w:p w14:paraId="77AD89BC">
      <w:pPr>
        <w:widowControl/>
        <w:pBdr>
          <w:top w:val="none" w:color="auto" w:sz="0" w:space="0"/>
          <w:left w:val="none" w:color="auto" w:sz="0" w:space="0"/>
          <w:bottom w:val="none" w:color="auto" w:sz="0" w:space="0"/>
          <w:right w:val="none" w:color="auto" w:sz="0" w:space="0"/>
        </w:pBdr>
        <w:adjustRightInd w:val="0"/>
        <w:snapToGrid w:val="0"/>
        <w:spacing w:line="560" w:lineRule="exact"/>
        <w:ind w:firstLine="3080" w:firstLineChars="10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处置方式：＿＿＿＿＿＿＿＿（无偿划转／对外捐赠／转让／置换／报废／损失核销）</w:t>
      </w:r>
    </w:p>
    <w:p w14:paraId="79755A4D">
      <w:pPr>
        <w:widowControl/>
        <w:pBdr>
          <w:top w:val="none" w:color="auto" w:sz="0" w:space="0"/>
          <w:left w:val="none" w:color="auto" w:sz="0" w:space="0"/>
          <w:bottom w:val="none" w:color="auto" w:sz="0" w:space="0"/>
          <w:right w:val="none" w:color="auto" w:sz="0" w:space="0"/>
        </w:pBdr>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现根据《灌云县行政事业性国有资产处置管理办法》的有关规定，特报请予以审批。</w:t>
      </w:r>
    </w:p>
    <w:p w14:paraId="2217D9F3">
      <w:pPr>
        <w:widowControl/>
        <w:pBdr>
          <w:top w:val="none" w:color="auto" w:sz="0" w:space="0"/>
          <w:left w:val="none" w:color="auto" w:sz="0" w:space="0"/>
          <w:bottom w:val="none" w:color="auto" w:sz="0" w:space="0"/>
          <w:right w:val="none" w:color="auto" w:sz="0" w:space="0"/>
        </w:pBdr>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以上请示妥否，请予批示。</w:t>
      </w:r>
    </w:p>
    <w:p w14:paraId="1A9325CB">
      <w:pPr>
        <w:widowControl w:val="0"/>
        <w:bidi w:val="0"/>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p>
    <w:p w14:paraId="19F3B28F">
      <w:pPr>
        <w:widowControl/>
        <w:pBdr>
          <w:top w:val="none" w:color="auto" w:sz="0" w:space="0"/>
          <w:left w:val="none" w:color="auto" w:sz="0" w:space="0"/>
          <w:bottom w:val="none" w:color="auto" w:sz="0" w:space="0"/>
          <w:right w:val="none" w:color="auto" w:sz="0" w:space="0"/>
        </w:pBdr>
        <w:adjustRightInd w:val="0"/>
        <w:snapToGrid w:val="0"/>
        <w:spacing w:line="560" w:lineRule="exact"/>
        <w:ind w:left="1925" w:hanging="1309" w:firstLineChars="0"/>
        <w:jc w:val="both"/>
        <w:rPr>
          <w:rFonts w:hint="default" w:ascii="Times New Roman" w:hAnsi="Times New Roman" w:eastAsia="仿宋_GB2312" w:cs="Times New Roman"/>
          <w:color w:val="auto"/>
          <w:spacing w:val="-6"/>
          <w:kern w:val="2"/>
          <w:sz w:val="32"/>
          <w:szCs w:val="32"/>
          <w:lang w:val="en-US" w:eastAsia="zh-CN" w:bidi="ar-SA"/>
        </w:rPr>
      </w:pPr>
      <mc:AlternateContent>
        <mc:Choice Requires="wpsCustomData">
          <wpsCustomData:docfieldStart id="4" docfieldname="附件说明_3" hidden="0" print="1" readonly="0" index="20"/>
        </mc:Choice>
      </mc:AlternateContent>
      <w:r>
        <w:rPr>
          <w:rFonts w:hint="default" w:ascii="Times New Roman" w:hAnsi="Times New Roman" w:eastAsia="仿宋_GB2312" w:cs="Times New Roman"/>
          <w:i w:val="0"/>
          <w:color w:val="auto"/>
          <w:spacing w:val="-6"/>
          <w:kern w:val="2"/>
          <w:sz w:val="32"/>
          <w:szCs w:val="32"/>
          <w:lang w:val="en-US" w:eastAsia="zh-CN" w:bidi="ar-SA"/>
        </w:rPr>
        <w:t>附件：1. 资产处置审批表及清单；2. 内部决策纪要；3. 资产价值及权属证明；4. 其他相关材料。</w:t>
      </w:r>
      <mc:AlternateContent>
        <mc:Choice Requires="wpsCustomData">
          <wpsCustomData:docfieldEnd id="4"/>
        </mc:Choice>
      </mc:AlternateContent>
    </w:p>
    <w:p w14:paraId="6DDBD0AA">
      <w:pPr>
        <w:widowControl/>
        <w:pBdr>
          <w:top w:val="none" w:color="auto" w:sz="0" w:space="0"/>
          <w:left w:val="none" w:color="auto" w:sz="0" w:space="0"/>
          <w:bottom w:val="none" w:color="auto" w:sz="0" w:space="0"/>
          <w:right w:val="none" w:color="auto" w:sz="0" w:space="0"/>
        </w:pBdr>
        <w:adjustRightInd w:val="0"/>
        <w:snapToGrid w:val="0"/>
        <w:spacing w:line="560" w:lineRule="exact"/>
        <w:ind w:firstLine="5544" w:firstLineChars="1800"/>
        <w:jc w:val="both"/>
        <w:rPr>
          <w:rFonts w:hint="default" w:ascii="Times New Roman" w:hAnsi="Times New Roman" w:eastAsia="仿宋_GB2312" w:cs="Times New Roman"/>
          <w:i w:val="0"/>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（单位公章）</w:t>
      </w:r>
    </w:p>
    <w:p w14:paraId="3CEEDC5B">
      <w:pPr>
        <w:adjustRightInd w:val="0"/>
        <w:snapToGrid w:val="0"/>
        <w:spacing w:line="576" w:lineRule="exact"/>
        <w:ind w:firstLine="6160" w:firstLineChars="2000"/>
        <w:rPr>
          <w:rFonts w:hint="default" w:ascii="Times New Roman" w:hAnsi="Times New Roman" w:eastAsia="仿宋_GB2312" w:cs="Times New Roman"/>
          <w:i w:val="0"/>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日期</w:t>
      </w:r>
    </w:p>
    <w:p w14:paraId="775225BC">
      <w:pPr>
        <w:adjustRightInd w:val="0"/>
        <w:snapToGrid w:val="0"/>
        <w:spacing w:line="576" w:lineRule="exact"/>
        <w:ind w:firstLine="396" w:firstLineChars="200"/>
        <w:rPr>
          <w:rFonts w:hint="default" w:ascii="Times New Roman" w:hAnsi="Times New Roman" w:eastAsia="仿宋_GB2312" w:cs="Times New Roman"/>
          <w:i w:val="0"/>
          <w:color w:val="auto"/>
          <w:spacing w:val="-6"/>
          <w:sz w:val="21"/>
          <w:szCs w:val="21"/>
        </w:rPr>
      </w:pPr>
    </w:p>
    <w:p w14:paraId="20504ED1">
      <w:pPr>
        <w:adjustRightInd w:val="0"/>
        <w:snapToGrid w:val="0"/>
        <w:spacing w:line="576" w:lineRule="exact"/>
        <w:ind w:firstLine="456" w:firstLineChars="200"/>
        <w:rPr>
          <w:rFonts w:hint="default" w:ascii="Times New Roman" w:hAnsi="Times New Roman" w:eastAsia="方正楷体_GB2312" w:cs="Times New Roman"/>
          <w:i w:val="0"/>
          <w:color w:val="auto"/>
          <w:spacing w:val="-6"/>
          <w:sz w:val="24"/>
          <w:szCs w:val="24"/>
          <w:lang w:val="en-US" w:eastAsia="zh-CN"/>
        </w:rPr>
      </w:pPr>
      <w:r>
        <w:rPr>
          <w:rFonts w:hint="default" w:ascii="Times New Roman" w:hAnsi="Times New Roman" w:eastAsia="方正楷体_GB2312" w:cs="Times New Roman"/>
          <w:i w:val="0"/>
          <w:color w:val="auto"/>
          <w:spacing w:val="-6"/>
          <w:sz w:val="24"/>
          <w:szCs w:val="24"/>
          <w:lang w:val="en-US" w:eastAsia="zh-CN"/>
        </w:rPr>
        <w:t>备注：</w:t>
      </w:r>
    </w:p>
    <w:p w14:paraId="3F5AD400">
      <w:pPr>
        <w:adjustRightInd w:val="0"/>
        <w:snapToGrid w:val="0"/>
        <w:spacing w:line="576" w:lineRule="exact"/>
        <w:ind w:firstLine="456" w:firstLineChars="200"/>
        <w:rPr>
          <w:rFonts w:hint="default" w:ascii="Times New Roman" w:hAnsi="Times New Roman" w:eastAsia="方正楷体_GB2312" w:cs="Times New Roman"/>
          <w:i w:val="0"/>
          <w:color w:val="auto"/>
          <w:spacing w:val="-6"/>
          <w:sz w:val="24"/>
          <w:szCs w:val="24"/>
        </w:rPr>
      </w:pPr>
      <w:r>
        <w:rPr>
          <w:rFonts w:hint="default" w:ascii="Times New Roman" w:hAnsi="Times New Roman" w:eastAsia="方正楷体_GB2312" w:cs="Times New Roman"/>
          <w:i w:val="0"/>
          <w:color w:val="auto"/>
          <w:spacing w:val="-6"/>
          <w:sz w:val="24"/>
          <w:szCs w:val="24"/>
          <w:lang w:eastAsia="zh-CN"/>
        </w:rPr>
        <w:t>处置理由需符合以下情形之一：</w:t>
      </w:r>
      <w:r>
        <w:rPr>
          <w:rFonts w:hint="default" w:ascii="Times New Roman" w:hAnsi="Times New Roman" w:eastAsia="方正楷体_GB2312" w:cs="Times New Roman"/>
          <w:i w:val="0"/>
          <w:color w:val="auto"/>
          <w:spacing w:val="-6"/>
          <w:sz w:val="24"/>
          <w:szCs w:val="24"/>
        </w:rPr>
        <w:t>1.已超过使用年限且无法满足现有工作需要的；2.因技术原因确需淘汰或者无法维修、无维修价值的；3.因自然灾害等不可抗力造成毁损、灭失的；4.涉及盘亏等非正常损失的；5.因单位分立、合并、改制、撤销、隶属关系改变或者部分职能、业务调整而移交的；6.发生产权变动的；7.依照国家有关规定需要处置的其他情形</w:t>
      </w:r>
    </w:p>
    <w:p w14:paraId="1AF783A9">
      <w:pPr>
        <w:adjustRightInd w:val="0"/>
        <w:snapToGrid w:val="0"/>
        <w:spacing w:line="576" w:lineRule="exact"/>
        <w:ind w:firstLine="456" w:firstLineChars="200"/>
        <w:rPr>
          <w:rFonts w:hint="default" w:ascii="Times New Roman" w:hAnsi="Times New Roman" w:eastAsia="方正楷体_GB2312" w:cs="Times New Roman"/>
          <w:i w:val="0"/>
          <w:color w:val="auto"/>
          <w:spacing w:val="-6"/>
          <w:sz w:val="24"/>
          <w:szCs w:val="24"/>
          <w:lang w:eastAsia="zh-CN"/>
        </w:rPr>
      </w:pPr>
      <w:r>
        <w:rPr>
          <w:rFonts w:hint="default" w:ascii="Times New Roman" w:hAnsi="Times New Roman" w:eastAsia="方正楷体_GB2312" w:cs="Times New Roman"/>
          <w:i w:val="0"/>
          <w:color w:val="auto"/>
          <w:spacing w:val="-6"/>
          <w:sz w:val="24"/>
          <w:szCs w:val="24"/>
        </w:rPr>
        <w:t>本次资产处置需遵循以下流程：1.由资产占有、使用单位向主管部门提出资产处置申请并填报行政事业单位国有资产处置申报审批表；2.资产处置申请需经主管部门审查同意；3.需要评估的资产由财政部门委托有资质的中介机构进行资产评估；4.</w:t>
      </w:r>
      <w:r>
        <w:rPr>
          <w:rFonts w:hint="default" w:ascii="Times New Roman" w:hAnsi="Times New Roman" w:eastAsia="方正楷体_GB2312" w:cs="Times New Roman"/>
          <w:i w:val="0"/>
          <w:color w:val="auto"/>
          <w:spacing w:val="-6"/>
          <w:sz w:val="24"/>
          <w:szCs w:val="24"/>
          <w:lang w:eastAsia="zh-CN"/>
        </w:rPr>
        <w:t>数额较大的行政事业单位国有资产处置，需由资产占有、使用单位报主管</w:t>
      </w:r>
      <w:r>
        <w:rPr>
          <w:rFonts w:hint="default" w:ascii="Times New Roman" w:hAnsi="Times New Roman" w:eastAsia="方正楷体_GB2312" w:cs="Times New Roman"/>
          <w:i w:val="0"/>
          <w:color w:val="auto"/>
          <w:spacing w:val="-6"/>
          <w:sz w:val="24"/>
          <w:szCs w:val="24"/>
          <w:lang w:val="en-US" w:eastAsia="zh-CN"/>
        </w:rPr>
        <w:t>县</w:t>
      </w:r>
      <w:r>
        <w:rPr>
          <w:rFonts w:hint="default" w:ascii="Times New Roman" w:hAnsi="Times New Roman" w:eastAsia="方正楷体_GB2312" w:cs="Times New Roman"/>
          <w:i w:val="0"/>
          <w:color w:val="auto"/>
          <w:spacing w:val="-6"/>
          <w:sz w:val="24"/>
          <w:szCs w:val="24"/>
          <w:lang w:eastAsia="zh-CN"/>
        </w:rPr>
        <w:t>长审核同意后，提交政府常务会议审定，按照公开、公平、公正和竞争、择优的原则进行处置，且需严格履行审批手续，未经批准不得擅自处置。</w:t>
      </w:r>
    </w:p>
    <w:p w14:paraId="4C4AB9B6">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180880B4">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30649C96">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7FF3CFA0">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61CC44E2">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45A9B51D">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6BDC9E9B">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48D2993E">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7DD0939D">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13C62308">
      <w:pPr>
        <w:adjustRightInd w:val="0"/>
        <w:snapToGrid w:val="0"/>
        <w:spacing w:line="576" w:lineRule="exact"/>
        <w:ind w:firstLine="616" w:firstLineChars="200"/>
        <w:rPr>
          <w:rFonts w:hint="default" w:ascii="Times New Roman" w:hAnsi="Times New Roman" w:eastAsia="仿宋" w:cs="Times New Roman"/>
          <w:i w:val="0"/>
          <w:color w:val="auto"/>
          <w:spacing w:val="-6"/>
          <w:sz w:val="32"/>
          <w:szCs w:val="32"/>
          <w:lang w:eastAsia="zh-CN"/>
        </w:rPr>
      </w:pPr>
    </w:p>
    <w:p w14:paraId="332073A7">
      <w:pPr>
        <w:widowControl/>
        <w:overflowPunct w:val="0"/>
        <w:topLinePunct/>
        <w:spacing w:line="560" w:lineRule="exact"/>
        <w:jc w:val="left"/>
        <w:outlineLvl w:val="0"/>
        <w:rPr>
          <w:rFonts w:hint="default" w:ascii="Times New Roman" w:hAnsi="Times New Roman" w:eastAsia="黑体" w:cs="Times New Roman"/>
          <w:sz w:val="32"/>
          <w:szCs w:val="32"/>
        </w:rPr>
      </w:pPr>
      <mc:AlternateContent>
        <mc:Choice Requires="wpsCustomData">
          <wpsCustomData:docfieldStart id="5" docfieldname="附件_3" hidden="0" print="1" readonly="0" index="3"/>
        </mc:Choice>
      </mc:AlternateContent>
      <w:r>
        <w:rPr>
          <w:rFonts w:hint="default" w:ascii="Times New Roman" w:hAnsi="Times New Roman" w:eastAsia="黑体" w:cs="Times New Roman"/>
          <w:sz w:val="32"/>
          <w:szCs w:val="32"/>
        </w:rPr>
        <w:t>附件2：</w:t>
      </w:r>
      <mc:AlternateContent>
        <mc:Choice Requires="wpsCustomData">
          <wpsCustomData:docfieldEnd id="5"/>
        </mc:Choice>
      </mc:AlternateContent>
    </w:p>
    <w:p w14:paraId="3550C85C">
      <w:pPr>
        <w:widowControl/>
        <w:spacing w:line="720" w:lineRule="exact"/>
        <w:jc w:val="center"/>
        <w:outlineLvl w:val="9"/>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灌云县行政事业性国有资产处置内部审批表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63"/>
        <w:gridCol w:w="1035"/>
        <w:gridCol w:w="2681"/>
        <w:gridCol w:w="3516"/>
      </w:tblGrid>
      <w:tr w14:paraId="29B2B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blHeader/>
        </w:trPr>
        <w:tc>
          <w:tcPr>
            <w:tcW w:w="5000" w:type="pct"/>
            <w:gridSpan w:val="4"/>
            <w:tcBorders>
              <w:top w:val="single" w:color="AAAAAA" w:sz="6" w:space="0"/>
              <w:left w:val="single" w:color="AAAAAA" w:sz="6" w:space="0"/>
              <w:bottom w:val="single" w:color="AAAAAA" w:sz="6" w:space="0"/>
              <w:right w:val="single" w:color="AAAAAA" w:sz="6" w:space="0"/>
            </w:tcBorders>
            <w:shd w:val="clear" w:color="auto" w:fill="EEF2F7"/>
            <w:noWrap w:val="0"/>
            <w:tcMar>
              <w:top w:w="150" w:type="dxa"/>
              <w:left w:w="120" w:type="dxa"/>
              <w:bottom w:w="150" w:type="dxa"/>
              <w:right w:w="120" w:type="dxa"/>
            </w:tcMar>
            <w:vAlign w:val="center"/>
          </w:tcPr>
          <w:p w14:paraId="150D295D">
            <w:pPr>
              <w:widowControl/>
              <w:spacing w:line="720" w:lineRule="exact"/>
              <w:ind w:firstLine="440" w:firstLineChars="100"/>
              <w:jc w:val="both"/>
              <w:outlineLvl w:val="9"/>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灌云县行政事业性国有资产处置内部审批表</w:t>
            </w:r>
          </w:p>
        </w:tc>
      </w:tr>
      <w:tr w14:paraId="3E591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6" w:hRule="atLeast"/>
          <w:tblHeader/>
        </w:trPr>
        <w:tc>
          <w:tcPr>
            <w:tcW w:w="5000" w:type="pct"/>
            <w:gridSpan w:val="4"/>
            <w:tcBorders>
              <w:top w:val="single" w:color="AAAAAA" w:sz="6" w:space="0"/>
              <w:left w:val="single" w:color="AAAAAA" w:sz="6" w:space="0"/>
              <w:bottom w:val="single" w:color="AAAAAA" w:sz="6" w:space="0"/>
              <w:right w:val="single" w:color="AAAAAA" w:sz="6" w:space="0"/>
            </w:tcBorders>
            <w:shd w:val="clear" w:color="auto" w:fill="EEF2F7"/>
            <w:noWrap w:val="0"/>
            <w:tcMar>
              <w:top w:w="150" w:type="dxa"/>
              <w:left w:w="120" w:type="dxa"/>
              <w:bottom w:w="150" w:type="dxa"/>
              <w:right w:w="120" w:type="dxa"/>
            </w:tcMar>
            <w:vAlign w:val="center"/>
          </w:tcPr>
          <w:p w14:paraId="2CD493DE">
            <w:pPr>
              <w:keepNext w:val="0"/>
              <w:keepLines w:val="0"/>
              <w:widowControl/>
              <w:suppressLineNumbers w:val="0"/>
              <w:adjustRightInd w:val="0"/>
              <w:snapToGrid w:val="0"/>
              <w:spacing w:before="0" w:beforeAutospacing="0" w:after="0" w:afterAutospacing="0" w:line="576" w:lineRule="exact"/>
              <w:ind w:left="0" w:right="0" w:firstLine="558" w:firstLineChars="200"/>
              <w:jc w:val="both"/>
              <w:rPr>
                <w:rFonts w:hint="default" w:ascii="Times New Roman" w:hAnsi="Times New Roman" w:eastAsia="黑体" w:cs="Times New Roman"/>
                <w:b/>
                <w:bCs/>
                <w:color w:val="auto"/>
                <w:spacing w:val="-6"/>
                <w:sz w:val="29"/>
                <w:szCs w:val="29"/>
              </w:rPr>
            </w:pPr>
            <w:r>
              <w:rPr>
                <w:rFonts w:hint="default" w:ascii="Times New Roman" w:hAnsi="Times New Roman" w:eastAsia="黑体" w:cs="Times New Roman"/>
                <w:b/>
                <w:bCs/>
                <w:color w:val="auto"/>
                <w:spacing w:val="-6"/>
                <w:kern w:val="0"/>
                <w:sz w:val="29"/>
                <w:szCs w:val="29"/>
                <w:lang w:val="en-US" w:eastAsia="zh-CN" w:bidi="ar"/>
              </w:rPr>
              <w:t>单位名称：＿＿＿＿＿＿＿＿＿＿＿＿＿＿＿＿＿ 年 月 日</w:t>
            </w:r>
          </w:p>
        </w:tc>
      </w:tr>
      <w:tr w14:paraId="22B36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6" w:hRule="atLeast"/>
        </w:trPr>
        <w:tc>
          <w:tcPr>
            <w:tcW w:w="1024" w:type="pct"/>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1F13A5BC">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资产大类</w:t>
            </w:r>
          </w:p>
        </w:tc>
        <w:tc>
          <w:tcPr>
            <w:tcW w:w="568" w:type="pct"/>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5463BE6F">
            <w:pPr>
              <w:keepNext w:val="0"/>
              <w:keepLines w:val="0"/>
              <w:widowControl/>
              <w:suppressLineNumbers w:val="0"/>
              <w:adjustRightInd w:val="0"/>
              <w:snapToGrid w:val="0"/>
              <w:spacing w:before="0" w:beforeAutospacing="0" w:after="0" w:afterAutospacing="0" w:line="576" w:lineRule="exact"/>
              <w:ind w:left="0" w:leftChars="0" w:right="0" w:firstLine="0" w:firstLineChars="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数量</w:t>
            </w:r>
          </w:p>
        </w:tc>
        <w:tc>
          <w:tcPr>
            <w:tcW w:w="1474" w:type="pct"/>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609418D6">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账面价值（元）</w:t>
            </w:r>
          </w:p>
        </w:tc>
        <w:tc>
          <w:tcPr>
            <w:tcW w:w="1932" w:type="pct"/>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69EBE575">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处置原因及处置方式</w:t>
            </w:r>
          </w:p>
        </w:tc>
      </w:tr>
      <w:tr w14:paraId="3ED25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5000" w:type="pct"/>
            <w:gridSpan w:val="4"/>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168FFACE">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合计人民币（大写）：＿＿＿＿＿＿＿＿＿＿＿＿＿＿＿＿＿</w:t>
            </w:r>
          </w:p>
        </w:tc>
      </w:tr>
      <w:tr w14:paraId="77DA6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trPr>
        <w:tc>
          <w:tcPr>
            <w:tcW w:w="1593"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6753A70A">
            <w:pPr>
              <w:keepNext w:val="0"/>
              <w:keepLines w:val="0"/>
              <w:widowControl/>
              <w:suppressLineNumbers w:val="0"/>
              <w:adjustRightInd w:val="0"/>
              <w:snapToGrid w:val="0"/>
              <w:spacing w:before="0" w:beforeAutospacing="0" w:after="0" w:afterAutospacing="0" w:line="576" w:lineRule="exact"/>
              <w:ind w:left="0" w:leftChars="0" w:right="0" w:firstLine="0" w:firstLineChars="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单位申请部门意见：</w:t>
            </w:r>
          </w:p>
        </w:tc>
        <w:tc>
          <w:tcPr>
            <w:tcW w:w="3406"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0639B729">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单位资产部门意见：</w:t>
            </w:r>
          </w:p>
        </w:tc>
      </w:tr>
      <w:tr w14:paraId="18A75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1" w:hRule="atLeast"/>
        </w:trPr>
        <w:tc>
          <w:tcPr>
            <w:tcW w:w="1593"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16074140">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kern w:val="0"/>
                <w:sz w:val="28"/>
                <w:szCs w:val="28"/>
                <w:lang w:val="en-US" w:eastAsia="zh-CN" w:bidi="ar"/>
              </w:rPr>
            </w:pPr>
            <w:r>
              <w:rPr>
                <w:rFonts w:hint="default" w:ascii="Times New Roman" w:hAnsi="Times New Roman" w:eastAsia="仿宋" w:cs="Times New Roman"/>
                <w:color w:val="auto"/>
                <w:spacing w:val="-6"/>
                <w:kern w:val="0"/>
                <w:sz w:val="28"/>
                <w:szCs w:val="28"/>
                <w:lang w:val="en-US" w:eastAsia="zh-CN" w:bidi="ar"/>
              </w:rPr>
              <w:t>经办人：</w:t>
            </w:r>
          </w:p>
          <w:p w14:paraId="2F145DD0">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kern w:val="0"/>
                <w:sz w:val="28"/>
                <w:szCs w:val="28"/>
                <w:lang w:val="en-US" w:eastAsia="zh-CN" w:bidi="ar"/>
              </w:rPr>
            </w:pPr>
            <w:r>
              <w:rPr>
                <w:rFonts w:hint="default" w:ascii="Times New Roman" w:hAnsi="Times New Roman" w:eastAsia="仿宋" w:cs="Times New Roman"/>
                <w:color w:val="auto"/>
                <w:spacing w:val="-6"/>
                <w:kern w:val="0"/>
                <w:sz w:val="28"/>
                <w:szCs w:val="28"/>
                <w:lang w:val="en-US" w:eastAsia="zh-CN" w:bidi="ar"/>
              </w:rPr>
              <w:t>部门负责人：</w:t>
            </w:r>
          </w:p>
          <w:p w14:paraId="7A463253">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年 月 日</w:t>
            </w:r>
          </w:p>
        </w:tc>
        <w:tc>
          <w:tcPr>
            <w:tcW w:w="3406"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0BF7EFC2">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kern w:val="0"/>
                <w:sz w:val="28"/>
                <w:szCs w:val="28"/>
                <w:lang w:val="en-US" w:eastAsia="zh-CN" w:bidi="ar"/>
              </w:rPr>
            </w:pPr>
            <w:r>
              <w:rPr>
                <w:rFonts w:hint="default" w:ascii="Times New Roman" w:hAnsi="Times New Roman" w:eastAsia="仿宋" w:cs="Times New Roman"/>
                <w:color w:val="auto"/>
                <w:spacing w:val="-6"/>
                <w:kern w:val="0"/>
                <w:sz w:val="28"/>
                <w:szCs w:val="28"/>
                <w:lang w:val="en-US" w:eastAsia="zh-CN" w:bidi="ar"/>
              </w:rPr>
              <w:t>经办人：</w:t>
            </w:r>
          </w:p>
          <w:p w14:paraId="67727AED">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kern w:val="0"/>
                <w:sz w:val="28"/>
                <w:szCs w:val="28"/>
                <w:lang w:val="en-US" w:eastAsia="zh-CN" w:bidi="ar"/>
              </w:rPr>
            </w:pPr>
            <w:r>
              <w:rPr>
                <w:rFonts w:hint="default" w:ascii="Times New Roman" w:hAnsi="Times New Roman" w:eastAsia="仿宋" w:cs="Times New Roman"/>
                <w:color w:val="auto"/>
                <w:spacing w:val="-6"/>
                <w:kern w:val="0"/>
                <w:sz w:val="28"/>
                <w:szCs w:val="28"/>
                <w:lang w:val="en-US" w:eastAsia="zh-CN" w:bidi="ar"/>
              </w:rPr>
              <w:t>资产部门负责人：</w:t>
            </w:r>
          </w:p>
          <w:p w14:paraId="0696EDF0">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年 月 日</w:t>
            </w:r>
          </w:p>
        </w:tc>
      </w:tr>
      <w:tr w14:paraId="7BC6B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6" w:hRule="atLeast"/>
        </w:trPr>
        <w:tc>
          <w:tcPr>
            <w:tcW w:w="1593"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07F43EE0">
            <w:pPr>
              <w:keepNext w:val="0"/>
              <w:keepLines w:val="0"/>
              <w:widowControl/>
              <w:suppressLineNumbers w:val="0"/>
              <w:adjustRightInd w:val="0"/>
              <w:snapToGrid w:val="0"/>
              <w:spacing w:before="0" w:beforeAutospacing="0" w:after="0" w:afterAutospacing="0" w:line="576" w:lineRule="exact"/>
              <w:ind w:left="0" w:leftChars="0" w:right="0" w:firstLine="0" w:firstLineChars="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技术部门鉴定意见：</w:t>
            </w:r>
          </w:p>
        </w:tc>
        <w:tc>
          <w:tcPr>
            <w:tcW w:w="3406"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69444FFC">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单位领导意见：</w:t>
            </w:r>
          </w:p>
        </w:tc>
      </w:tr>
      <w:tr w14:paraId="11F32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1" w:hRule="atLeast"/>
        </w:trPr>
        <w:tc>
          <w:tcPr>
            <w:tcW w:w="1593"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1D4C498B">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kern w:val="0"/>
                <w:sz w:val="28"/>
                <w:szCs w:val="28"/>
                <w:lang w:val="en-US" w:eastAsia="zh-CN" w:bidi="ar"/>
              </w:rPr>
            </w:pPr>
            <w:r>
              <w:rPr>
                <w:rFonts w:hint="default" w:ascii="Times New Roman" w:hAnsi="Times New Roman" w:eastAsia="仿宋" w:cs="Times New Roman"/>
                <w:color w:val="auto"/>
                <w:spacing w:val="-6"/>
                <w:kern w:val="0"/>
                <w:sz w:val="28"/>
                <w:szCs w:val="28"/>
                <w:lang w:val="en-US" w:eastAsia="zh-CN" w:bidi="ar"/>
              </w:rPr>
              <w:t>鉴定人员：</w:t>
            </w:r>
          </w:p>
          <w:p w14:paraId="03CC001F">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年 月 日</w:t>
            </w:r>
          </w:p>
        </w:tc>
        <w:tc>
          <w:tcPr>
            <w:tcW w:w="3406" w:type="pct"/>
            <w:gridSpan w:val="2"/>
            <w:tcBorders>
              <w:top w:val="single" w:color="AAAAAA" w:sz="6" w:space="0"/>
              <w:left w:val="single" w:color="AAAAAA" w:sz="6" w:space="0"/>
              <w:bottom w:val="single" w:color="AAAAAA" w:sz="6" w:space="0"/>
              <w:right w:val="single" w:color="AAAAAA" w:sz="6" w:space="0"/>
            </w:tcBorders>
            <w:noWrap w:val="0"/>
            <w:tcMar>
              <w:top w:w="120" w:type="dxa"/>
              <w:left w:w="120" w:type="dxa"/>
              <w:bottom w:w="120" w:type="dxa"/>
              <w:right w:w="120" w:type="dxa"/>
            </w:tcMar>
            <w:vAlign w:val="top"/>
          </w:tcPr>
          <w:p w14:paraId="4BC907B4">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kern w:val="0"/>
                <w:sz w:val="28"/>
                <w:szCs w:val="28"/>
                <w:lang w:val="en-US" w:eastAsia="zh-CN" w:bidi="ar"/>
              </w:rPr>
            </w:pPr>
            <w:r>
              <w:rPr>
                <w:rFonts w:hint="default" w:ascii="Times New Roman" w:hAnsi="Times New Roman" w:eastAsia="仿宋" w:cs="Times New Roman"/>
                <w:color w:val="auto"/>
                <w:spacing w:val="-6"/>
                <w:kern w:val="0"/>
                <w:sz w:val="28"/>
                <w:szCs w:val="28"/>
                <w:lang w:val="en-US" w:eastAsia="zh-CN" w:bidi="ar"/>
              </w:rPr>
              <w:t>签名：</w:t>
            </w:r>
          </w:p>
          <w:p w14:paraId="537A6A05">
            <w:pPr>
              <w:keepNext w:val="0"/>
              <w:keepLines w:val="0"/>
              <w:widowControl/>
              <w:suppressLineNumbers w:val="0"/>
              <w:adjustRightInd w:val="0"/>
              <w:snapToGrid w:val="0"/>
              <w:spacing w:before="0" w:beforeAutospacing="0" w:after="0" w:afterAutospacing="0" w:line="576" w:lineRule="exact"/>
              <w:ind w:left="0" w:right="0" w:firstLine="536" w:firstLineChars="200"/>
              <w:jc w:val="left"/>
              <w:textAlignment w:val="top"/>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年 月 日</w:t>
            </w:r>
          </w:p>
        </w:tc>
      </w:tr>
    </w:tbl>
    <w:p w14:paraId="155780AA">
      <w:pPr>
        <w:adjustRightInd w:val="0"/>
        <w:snapToGrid/>
        <w:spacing w:beforeAutospacing="0" w:afterAutospacing="0" w:line="360" w:lineRule="auto"/>
        <w:ind w:left="0" w:leftChars="0" w:right="0" w:rightChars="0" w:firstLine="536" w:firstLineChars="200"/>
        <w:jc w:val="left"/>
        <w:rPr>
          <w:rFonts w:hint="default" w:ascii="Times New Roman" w:hAnsi="Times New Roman" w:eastAsia="宋体" w:cs="Times New Roman"/>
          <w:color w:val="auto"/>
          <w:spacing w:val="-6"/>
          <w:sz w:val="28"/>
          <w:szCs w:val="32"/>
        </w:rPr>
      </w:pPr>
    </w:p>
    <w:p w14:paraId="0629201C">
      <w:pPr>
        <w:keepNext w:val="0"/>
        <w:keepLines w:val="0"/>
        <w:widowControl/>
        <w:suppressLineNumbers w:val="0"/>
        <w:adjustRightInd w:val="0"/>
        <w:snapToGrid/>
        <w:spacing w:beforeAutospacing="0" w:afterAutospacing="0" w:line="360" w:lineRule="auto"/>
        <w:ind w:left="0" w:leftChars="0" w:right="0" w:rightChars="0" w:firstLine="536" w:firstLineChars="200"/>
        <w:jc w:val="left"/>
        <w:textAlignment w:val="center"/>
        <w:rPr>
          <w:rFonts w:hint="default" w:ascii="Times New Roman" w:hAnsi="Times New Roman" w:eastAsia="宋体" w:cs="Times New Roman"/>
          <w:i w:val="0"/>
          <w:iCs w:val="0"/>
          <w:snapToGrid w:val="0"/>
          <w:color w:val="auto"/>
          <w:spacing w:val="-6"/>
          <w:kern w:val="0"/>
          <w:sz w:val="28"/>
          <w:szCs w:val="24"/>
          <w:u w:val="none"/>
          <w:lang w:val="en-US" w:eastAsia="zh-CN" w:bidi="ar"/>
        </w:rPr>
      </w:pPr>
    </w:p>
    <w:p w14:paraId="34442EEE">
      <w:pPr>
        <w:widowControl w:val="0"/>
        <w:bidi w:val="0"/>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p>
    <w:p w14:paraId="639CED3E">
      <w:pPr>
        <w:bidi w:val="0"/>
        <w:rPr>
          <w:rFonts w:hint="default" w:ascii="Times New Roman" w:hAnsi="Times New Roman" w:cs="Times New Roman"/>
          <w:lang w:val="en-US" w:eastAsia="zh-CN"/>
        </w:rPr>
        <w:sectPr>
          <w:pgSz w:w="11916" w:h="16848"/>
          <w:pgMar w:top="2098" w:right="1474" w:bottom="1984" w:left="1587" w:header="851" w:footer="1417" w:gutter="0"/>
          <w:pgBorders>
            <w:top w:val="none" w:sz="0" w:space="0"/>
            <w:left w:val="none" w:sz="0" w:space="0"/>
            <w:bottom w:val="none" w:sz="0" w:space="0"/>
            <w:right w:val="none" w:sz="0" w:space="0"/>
          </w:pgBorders>
          <w:pgNumType w:fmt="decimal" w:start="1"/>
          <w:cols w:space="720" w:num="1"/>
        </w:sectPr>
      </w:pPr>
    </w:p>
    <w:tbl>
      <w:tblPr>
        <w:tblStyle w:val="7"/>
        <w:tblW w:w="518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91"/>
        <w:gridCol w:w="2535"/>
        <w:gridCol w:w="1890"/>
        <w:gridCol w:w="1920"/>
        <w:gridCol w:w="1410"/>
        <w:gridCol w:w="1545"/>
        <w:gridCol w:w="1095"/>
        <w:gridCol w:w="2036"/>
      </w:tblGrid>
      <w:tr w14:paraId="0A7C7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8"/>
            <w:tcBorders>
              <w:top w:val="nil"/>
              <w:left w:val="nil"/>
              <w:bottom w:val="nil"/>
              <w:right w:val="nil"/>
            </w:tcBorders>
            <w:noWrap w:val="0"/>
            <w:tcMar>
              <w:top w:w="-1" w:type="dxa"/>
              <w:left w:w="108" w:type="dxa"/>
              <w:bottom w:w="-1" w:type="dxa"/>
              <w:right w:w="108" w:type="dxa"/>
            </w:tcMar>
            <w:vAlign w:val="center"/>
          </w:tcPr>
          <w:p w14:paraId="4E87C728">
            <w:pPr>
              <w:widowControl/>
              <w:adjustRightInd w:val="0"/>
              <w:snapToGrid w:val="0"/>
              <w:spacing w:line="560" w:lineRule="exact"/>
              <w:ind w:left="0" w:leftChars="0" w:firstLine="0" w:firstLineChars="0"/>
              <w:jc w:val="both"/>
              <w:rPr>
                <w:rFonts w:hint="default" w:ascii="Times New Roman" w:hAnsi="Times New Roman" w:eastAsia="仿宋_GB2312" w:cs="Times New Roman"/>
                <w:color w:val="auto"/>
                <w:spacing w:val="-6"/>
                <w:kern w:val="2"/>
                <w:sz w:val="32"/>
                <w:szCs w:val="32"/>
                <w:u w:val="none"/>
                <w:lang w:val="en-US" w:eastAsia="zh-CN" w:bidi="ar-SA"/>
              </w:rPr>
            </w:pPr>
            <mc:AlternateContent>
              <mc:Choice Requires="wpsCustomData">
                <wpsCustomData:docfieldStart id="6" docfieldname="附件说明_4" hidden="0" print="1" readonly="0" index="15"/>
              </mc:Choice>
            </mc:AlternateContent>
            <w:r>
              <w:rPr>
                <w:rFonts w:hint="default" w:ascii="Times New Roman" w:hAnsi="Times New Roman" w:eastAsia="仿宋_GB2312" w:cs="Times New Roman"/>
                <w:b/>
                <w:i w:val="0"/>
                <w:color w:val="auto"/>
                <w:spacing w:val="-6"/>
                <w:kern w:val="2"/>
                <w:sz w:val="32"/>
                <w:szCs w:val="32"/>
                <w:lang w:val="en-US" w:eastAsia="zh-CN" w:bidi="ar-SA"/>
              </w:rPr>
              <w:t>附件</w:t>
            </w:r>
            <w:r>
              <w:rPr>
                <w:rFonts w:hint="default" w:ascii="Times New Roman" w:hAnsi="Times New Roman" w:eastAsia="仿宋_GB2312" w:cs="Times New Roman"/>
                <w:color w:val="auto"/>
                <w:spacing w:val="-6"/>
                <w:kern w:val="2"/>
                <w:sz w:val="32"/>
                <w:szCs w:val="32"/>
                <w:lang w:val="en-US" w:eastAsia="zh-CN" w:bidi="ar-SA"/>
              </w:rPr>
              <w:t xml:space="preserve">3：                   </w:t>
            </w:r>
            <w:r>
              <w:rPr>
                <w:rFonts w:hint="default" w:ascii="Times New Roman" w:hAnsi="Times New Roman" w:eastAsia="方正楷体_GB2312" w:cs="Times New Roman"/>
                <w:color w:val="auto"/>
                <w:spacing w:val="-6"/>
                <w:kern w:val="2"/>
                <w:sz w:val="32"/>
                <w:szCs w:val="32"/>
                <w:lang w:val="en-US" w:eastAsia="zh-CN" w:bidi="ar-SA"/>
              </w:rPr>
              <w:t>灌云县行政事业性国有资产处置审批表</w:t>
            </w:r>
            <mc:AlternateContent>
              <mc:Choice Requires="wpsCustomData">
                <wpsCustomData:docfieldEnd id="6"/>
              </mc:Choice>
            </mc:AlternateContent>
          </w:p>
        </w:tc>
      </w:tr>
      <w:tr w14:paraId="6A70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jc w:val="center"/>
        </w:trPr>
        <w:tc>
          <w:tcPr>
            <w:tcW w:w="5000" w:type="pct"/>
            <w:gridSpan w:val="8"/>
            <w:tcBorders>
              <w:top w:val="nil"/>
              <w:left w:val="nil"/>
              <w:bottom w:val="single" w:color="auto" w:sz="12" w:space="0"/>
              <w:right w:val="nil"/>
            </w:tcBorders>
            <w:noWrap w:val="0"/>
            <w:tcMar>
              <w:top w:w="-1" w:type="dxa"/>
              <w:left w:w="108" w:type="dxa"/>
              <w:bottom w:w="-1" w:type="dxa"/>
              <w:right w:w="108" w:type="dxa"/>
            </w:tcMar>
            <w:vAlign w:val="center"/>
          </w:tcPr>
          <w:p w14:paraId="346D2722">
            <w:pPr>
              <w:keepNext w:val="0"/>
              <w:keepLines w:val="0"/>
              <w:widowControl/>
              <w:suppressLineNumbers w:val="0"/>
              <w:adjustRightInd w:val="0"/>
              <w:snapToGrid w:val="0"/>
              <w:spacing w:line="240" w:lineRule="auto"/>
              <w:ind w:firstLine="0" w:firstLineChars="0"/>
              <w:jc w:val="center"/>
              <w:textAlignment w:val="center"/>
              <w:rPr>
                <w:rFonts w:hint="default" w:ascii="Times New Roman" w:hAnsi="Times New Roman" w:eastAsia="Segoe UI" w:cs="Times New Roman"/>
                <w:i w:val="0"/>
                <w:iCs w:val="0"/>
                <w:color w:val="0F1115"/>
                <w:spacing w:val="-6"/>
                <w:sz w:val="24"/>
                <w:szCs w:val="24"/>
                <w:u w:val="none"/>
              </w:rPr>
            </w:pPr>
            <w:r>
              <w:rPr>
                <w:rFonts w:hint="default" w:ascii="Times New Roman" w:hAnsi="Times New Roman" w:eastAsia="方正楷体_GB2312" w:cs="Times New Roman"/>
                <w:i w:val="0"/>
                <w:iCs w:val="0"/>
                <w:snapToGrid w:val="0"/>
                <w:color w:val="000000"/>
                <w:spacing w:val="-6"/>
                <w:kern w:val="0"/>
                <w:sz w:val="18"/>
                <w:szCs w:val="18"/>
                <w:u w:val="none"/>
                <w:lang w:val="en-US" w:eastAsia="zh-CN" w:bidi="ar"/>
              </w:rPr>
              <w:t>（适用于报废、报损、转让、无偿划转、对外捐赠等多种处置方式</w:t>
            </w:r>
            <w:r>
              <w:rPr>
                <w:rFonts w:hint="default" w:ascii="Times New Roman" w:hAnsi="Times New Roman" w:eastAsia="Segoe UI" w:cs="Times New Roman"/>
                <w:i w:val="0"/>
                <w:iCs w:val="0"/>
                <w:snapToGrid w:val="0"/>
                <w:color w:val="000000"/>
                <w:spacing w:val="-6"/>
                <w:kern w:val="0"/>
                <w:sz w:val="18"/>
                <w:szCs w:val="18"/>
                <w:u w:val="none"/>
                <w:lang w:val="en-US" w:eastAsia="zh-CN" w:bidi="ar"/>
              </w:rPr>
              <w:t>）</w:t>
            </w:r>
          </w:p>
        </w:tc>
      </w:tr>
      <w:tr w14:paraId="7043F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0" w:type="pct"/>
            <w:tcBorders>
              <w:top w:val="single" w:color="auto" w:sz="12" w:space="0"/>
              <w:left w:val="single" w:color="000000" w:sz="12" w:space="0"/>
              <w:bottom w:val="nil"/>
              <w:right w:val="nil"/>
            </w:tcBorders>
            <w:noWrap w:val="0"/>
            <w:tcMar>
              <w:top w:w="-1" w:type="dxa"/>
              <w:left w:w="108" w:type="dxa"/>
              <w:bottom w:w="-1" w:type="dxa"/>
              <w:right w:w="108" w:type="dxa"/>
            </w:tcMar>
            <w:vAlign w:val="center"/>
          </w:tcPr>
          <w:p w14:paraId="46CC554F">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申报单位</w:t>
            </w:r>
          </w:p>
        </w:tc>
        <w:tc>
          <w:tcPr>
            <w:tcW w:w="878" w:type="pct"/>
            <w:tcBorders>
              <w:top w:val="single" w:color="auto" w:sz="12" w:space="0"/>
              <w:left w:val="single" w:color="auto" w:sz="4" w:space="0"/>
              <w:bottom w:val="nil"/>
              <w:right w:val="nil"/>
            </w:tcBorders>
            <w:noWrap w:val="0"/>
            <w:tcMar>
              <w:top w:w="-1" w:type="dxa"/>
              <w:left w:w="108" w:type="dxa"/>
              <w:bottom w:w="-1" w:type="dxa"/>
              <w:right w:w="108" w:type="dxa"/>
            </w:tcMar>
            <w:vAlign w:val="center"/>
          </w:tcPr>
          <w:p w14:paraId="1027F777">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（盖章）</w:t>
            </w:r>
          </w:p>
        </w:tc>
        <w:tc>
          <w:tcPr>
            <w:tcW w:w="655" w:type="pct"/>
            <w:tcBorders>
              <w:top w:val="single" w:color="auto" w:sz="12" w:space="0"/>
              <w:left w:val="single" w:color="000000" w:sz="4" w:space="0"/>
              <w:bottom w:val="nil"/>
              <w:right w:val="nil"/>
            </w:tcBorders>
            <w:noWrap w:val="0"/>
            <w:tcMar>
              <w:top w:w="-1" w:type="dxa"/>
              <w:left w:w="108" w:type="dxa"/>
              <w:bottom w:w="-1" w:type="dxa"/>
              <w:right w:w="108" w:type="dxa"/>
            </w:tcMar>
            <w:vAlign w:val="center"/>
          </w:tcPr>
          <w:p w14:paraId="4BD15814">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申报日期</w:t>
            </w:r>
          </w:p>
        </w:tc>
        <w:tc>
          <w:tcPr>
            <w:tcW w:w="2775" w:type="pct"/>
            <w:gridSpan w:val="5"/>
            <w:tcBorders>
              <w:top w:val="single" w:color="auto" w:sz="12" w:space="0"/>
              <w:left w:val="single" w:color="auto" w:sz="4" w:space="0"/>
              <w:bottom w:val="nil"/>
              <w:right w:val="single" w:color="000000" w:sz="12" w:space="0"/>
            </w:tcBorders>
            <w:noWrap w:val="0"/>
            <w:tcMar>
              <w:top w:w="-1" w:type="dxa"/>
              <w:left w:w="108" w:type="dxa"/>
              <w:bottom w:w="-1" w:type="dxa"/>
              <w:right w:w="108" w:type="dxa"/>
            </w:tcMar>
            <w:vAlign w:val="center"/>
          </w:tcPr>
          <w:p w14:paraId="4B63F86B">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 xml:space="preserve">            年      月      日</w:t>
            </w:r>
          </w:p>
        </w:tc>
      </w:tr>
      <w:tr w14:paraId="70083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6252C9DB">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处置方式</w:t>
            </w:r>
          </w:p>
        </w:tc>
        <w:tc>
          <w:tcPr>
            <w:tcW w:w="4309" w:type="pct"/>
            <w:gridSpan w:val="7"/>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14F4E7D5">
            <w:pPr>
              <w:keepNext w:val="0"/>
              <w:keepLines w:val="0"/>
              <w:widowControl/>
              <w:suppressLineNumbers w:val="0"/>
              <w:adjustRightInd w:val="0"/>
              <w:snapToGrid w:val="0"/>
              <w:spacing w:line="576" w:lineRule="exact"/>
              <w:ind w:firstLine="416" w:firstLineChars="200"/>
              <w:jc w:val="center"/>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□报废 □报损 □转让 □无偿划转 □对外捐赠 □置换 □其他</w:t>
            </w:r>
          </w:p>
        </w:tc>
      </w:tr>
      <w:tr w14:paraId="36949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20AC7617">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资产名称</w:t>
            </w:r>
          </w:p>
        </w:tc>
        <w:tc>
          <w:tcPr>
            <w:tcW w:w="878"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7B4CD7C4">
            <w:pPr>
              <w:adjustRightInd w:val="0"/>
              <w:snapToGrid w:val="0"/>
              <w:spacing w:line="576" w:lineRule="exact"/>
              <w:ind w:firstLine="416" w:firstLineChars="200"/>
              <w:rPr>
                <w:rFonts w:hint="default" w:ascii="Times New Roman" w:hAnsi="Times New Roman" w:eastAsia="方正仿宋_GB2312" w:cs="Times New Roman"/>
                <w:i w:val="0"/>
                <w:iCs w:val="0"/>
                <w:color w:val="000000"/>
                <w:spacing w:val="-6"/>
                <w:sz w:val="22"/>
                <w:szCs w:val="22"/>
                <w:u w:val="none"/>
              </w:rPr>
            </w:pPr>
          </w:p>
        </w:tc>
        <w:tc>
          <w:tcPr>
            <w:tcW w:w="655"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3A29C7D5">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资产编号</w:t>
            </w:r>
          </w:p>
        </w:tc>
        <w:tc>
          <w:tcPr>
            <w:tcW w:w="2775" w:type="pct"/>
            <w:gridSpan w:val="5"/>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4BC11D6B">
            <w:pPr>
              <w:adjustRightInd w:val="0"/>
              <w:snapToGrid w:val="0"/>
              <w:spacing w:line="576" w:lineRule="exact"/>
              <w:ind w:firstLine="416" w:firstLineChars="200"/>
              <w:jc w:val="center"/>
              <w:rPr>
                <w:rFonts w:hint="default" w:ascii="Times New Roman" w:hAnsi="Times New Roman" w:eastAsia="方正仿宋_GB2312" w:cs="Times New Roman"/>
                <w:i w:val="0"/>
                <w:iCs w:val="0"/>
                <w:color w:val="000000"/>
                <w:spacing w:val="-6"/>
                <w:sz w:val="22"/>
                <w:szCs w:val="22"/>
                <w:u w:val="none"/>
              </w:rPr>
            </w:pPr>
          </w:p>
        </w:tc>
      </w:tr>
      <w:tr w14:paraId="4848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4E4D9D86">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规格型号</w:t>
            </w:r>
          </w:p>
        </w:tc>
        <w:tc>
          <w:tcPr>
            <w:tcW w:w="878"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62F7605B">
            <w:pPr>
              <w:adjustRightInd w:val="0"/>
              <w:snapToGrid w:val="0"/>
              <w:spacing w:line="576" w:lineRule="exact"/>
              <w:ind w:firstLine="416" w:firstLineChars="200"/>
              <w:rPr>
                <w:rFonts w:hint="default" w:ascii="Times New Roman" w:hAnsi="Times New Roman" w:eastAsia="方正仿宋_GB2312" w:cs="Times New Roman"/>
                <w:i w:val="0"/>
                <w:iCs w:val="0"/>
                <w:color w:val="000000"/>
                <w:spacing w:val="-6"/>
                <w:sz w:val="22"/>
                <w:szCs w:val="22"/>
                <w:u w:val="none"/>
              </w:rPr>
            </w:pPr>
          </w:p>
        </w:tc>
        <w:tc>
          <w:tcPr>
            <w:tcW w:w="655"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56B3ABDD">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数量</w:t>
            </w:r>
          </w:p>
        </w:tc>
        <w:tc>
          <w:tcPr>
            <w:tcW w:w="2775" w:type="pct"/>
            <w:gridSpan w:val="5"/>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4317DE75">
            <w:pPr>
              <w:adjustRightInd w:val="0"/>
              <w:snapToGrid w:val="0"/>
              <w:spacing w:line="576" w:lineRule="exact"/>
              <w:ind w:firstLine="416" w:firstLineChars="200"/>
              <w:jc w:val="center"/>
              <w:rPr>
                <w:rFonts w:hint="default" w:ascii="Times New Roman" w:hAnsi="Times New Roman" w:eastAsia="方正仿宋_GB2312" w:cs="Times New Roman"/>
                <w:i w:val="0"/>
                <w:iCs w:val="0"/>
                <w:color w:val="000000"/>
                <w:spacing w:val="-6"/>
                <w:sz w:val="22"/>
                <w:szCs w:val="22"/>
                <w:u w:val="none"/>
              </w:rPr>
            </w:pPr>
          </w:p>
        </w:tc>
      </w:tr>
      <w:tr w14:paraId="2237C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29A9AB70">
            <w:pPr>
              <w:keepNext w:val="0"/>
              <w:keepLines w:val="0"/>
              <w:widowControl/>
              <w:suppressLineNumbers w:val="0"/>
              <w:adjustRightInd w:val="0"/>
              <w:snapToGrid w:val="0"/>
              <w:spacing w:line="576" w:lineRule="exact"/>
              <w:ind w:firstLine="416" w:firstLineChars="2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购置日期</w:t>
            </w:r>
          </w:p>
        </w:tc>
        <w:tc>
          <w:tcPr>
            <w:tcW w:w="878"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2F132E52">
            <w:pPr>
              <w:adjustRightInd w:val="0"/>
              <w:snapToGrid w:val="0"/>
              <w:spacing w:line="576" w:lineRule="exact"/>
              <w:ind w:firstLine="416" w:firstLineChars="200"/>
              <w:rPr>
                <w:rFonts w:hint="default" w:ascii="Times New Roman" w:hAnsi="Times New Roman" w:eastAsia="方正仿宋_GB2312" w:cs="Times New Roman"/>
                <w:i w:val="0"/>
                <w:iCs w:val="0"/>
                <w:color w:val="000000"/>
                <w:spacing w:val="-6"/>
                <w:sz w:val="22"/>
                <w:szCs w:val="22"/>
                <w:u w:val="none"/>
              </w:rPr>
            </w:pPr>
          </w:p>
        </w:tc>
        <w:tc>
          <w:tcPr>
            <w:tcW w:w="655"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0A2BBC64">
            <w:pPr>
              <w:keepNext w:val="0"/>
              <w:keepLines w:val="0"/>
              <w:widowControl/>
              <w:suppressLineNumbers w:val="0"/>
              <w:adjustRightInd w:val="0"/>
              <w:snapToGrid w:val="0"/>
              <w:spacing w:line="576" w:lineRule="exact"/>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账面原值（元）</w:t>
            </w:r>
          </w:p>
        </w:tc>
        <w:tc>
          <w:tcPr>
            <w:tcW w:w="2775" w:type="pct"/>
            <w:gridSpan w:val="5"/>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3D109D73">
            <w:pPr>
              <w:adjustRightInd w:val="0"/>
              <w:snapToGrid w:val="0"/>
              <w:spacing w:line="576" w:lineRule="exact"/>
              <w:ind w:firstLine="416" w:firstLineChars="200"/>
              <w:jc w:val="center"/>
              <w:rPr>
                <w:rFonts w:hint="default" w:ascii="Times New Roman" w:hAnsi="Times New Roman" w:eastAsia="方正仿宋_GB2312" w:cs="Times New Roman"/>
                <w:i w:val="0"/>
                <w:iCs w:val="0"/>
                <w:color w:val="000000"/>
                <w:spacing w:val="-6"/>
                <w:sz w:val="22"/>
                <w:szCs w:val="22"/>
                <w:u w:val="none"/>
              </w:rPr>
            </w:pPr>
          </w:p>
        </w:tc>
      </w:tr>
      <w:tr w14:paraId="44F8D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393E136A">
            <w:pPr>
              <w:keepNext w:val="0"/>
              <w:keepLines w:val="0"/>
              <w:widowControl/>
              <w:suppressLineNumbers w:val="0"/>
              <w:adjustRightInd w:val="0"/>
              <w:snapToGrid w:val="0"/>
              <w:spacing w:line="240" w:lineRule="auto"/>
              <w:ind w:firstLine="208" w:firstLineChars="1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已使用年限</w:t>
            </w:r>
          </w:p>
        </w:tc>
        <w:tc>
          <w:tcPr>
            <w:tcW w:w="878"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4A029695">
            <w:pPr>
              <w:adjustRightInd w:val="0"/>
              <w:snapToGrid w:val="0"/>
              <w:spacing w:line="240" w:lineRule="auto"/>
              <w:ind w:firstLine="0" w:firstLineChars="0"/>
              <w:rPr>
                <w:rFonts w:hint="default" w:ascii="Times New Roman" w:hAnsi="Times New Roman" w:eastAsia="方正仿宋_GB2312" w:cs="Times New Roman"/>
                <w:i w:val="0"/>
                <w:iCs w:val="0"/>
                <w:color w:val="000000"/>
                <w:spacing w:val="-6"/>
                <w:sz w:val="22"/>
                <w:szCs w:val="22"/>
                <w:u w:val="none"/>
              </w:rPr>
            </w:pPr>
          </w:p>
        </w:tc>
        <w:tc>
          <w:tcPr>
            <w:tcW w:w="655" w:type="pct"/>
            <w:tcBorders>
              <w:top w:val="single" w:color="auto" w:sz="4" w:space="0"/>
              <w:left w:val="single" w:color="auto" w:sz="4" w:space="0"/>
              <w:bottom w:val="nil"/>
              <w:right w:val="nil"/>
            </w:tcBorders>
            <w:noWrap w:val="0"/>
            <w:tcMar>
              <w:top w:w="-1" w:type="dxa"/>
              <w:left w:w="108" w:type="dxa"/>
              <w:bottom w:w="-1" w:type="dxa"/>
              <w:right w:w="108" w:type="dxa"/>
            </w:tcMar>
            <w:vAlign w:val="center"/>
          </w:tcPr>
          <w:p w14:paraId="4D891675">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处置原因及依据</w:t>
            </w:r>
          </w:p>
        </w:tc>
        <w:tc>
          <w:tcPr>
            <w:tcW w:w="2775" w:type="pct"/>
            <w:gridSpan w:val="5"/>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528C388D">
            <w:pPr>
              <w:keepNext w:val="0"/>
              <w:keepLines/>
              <w:pageBreakBefore w:val="0"/>
              <w:widowControl/>
              <w:suppressLineNumbers w:val="0"/>
              <w:kinsoku/>
              <w:wordWrap w:val="0"/>
              <w:overflowPunct/>
              <w:topLinePunct w:val="0"/>
              <w:autoSpaceDE/>
              <w:autoSpaceDN/>
              <w:bidi w:val="0"/>
              <w:adjustRightInd w:val="0"/>
              <w:snapToGrid w:val="0"/>
              <w:spacing w:line="240" w:lineRule="auto"/>
              <w:ind w:left="0" w:leftChars="0" w:firstLine="0" w:firstLineChars="0"/>
              <w:jc w:val="both"/>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18"/>
                <w:szCs w:val="18"/>
                <w:u w:val="none"/>
                <w:lang w:val="en-US" w:eastAsia="zh-CN" w:bidi="ar"/>
              </w:rPr>
              <w:t>（按办法规定详细说明，如：技术淘汰、毁损、闲置等，并附相关鉴定文件编号）</w:t>
            </w:r>
          </w:p>
        </w:tc>
      </w:tr>
      <w:tr w14:paraId="4304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17A5F30C">
            <w:pPr>
              <w:keepNext w:val="0"/>
              <w:keepLines w:val="0"/>
              <w:widowControl/>
              <w:suppressLineNumbers w:val="0"/>
              <w:adjustRightInd w:val="0"/>
              <w:snapToGrid w:val="0"/>
              <w:spacing w:line="576" w:lineRule="exact"/>
              <w:ind w:left="0" w:leftChars="0" w:firstLine="208" w:firstLineChars="10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资产评估情况</w:t>
            </w:r>
          </w:p>
        </w:tc>
        <w:tc>
          <w:tcPr>
            <w:tcW w:w="4309" w:type="pct"/>
            <w:gridSpan w:val="7"/>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78E5A25C">
            <w:pPr>
              <w:keepNext w:val="0"/>
              <w:keepLines w:val="0"/>
              <w:widowControl/>
              <w:suppressLineNumbers w:val="0"/>
              <w:adjustRightInd w:val="0"/>
              <w:snapToGrid w:val="0"/>
              <w:spacing w:line="576" w:lineRule="exact"/>
              <w:ind w:firstLine="416" w:firstLineChars="200"/>
              <w:jc w:val="center"/>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（如涉及）评估机构： ，备案号： ，评估价值（元）：</w:t>
            </w:r>
          </w:p>
        </w:tc>
      </w:tr>
      <w:tr w14:paraId="7EED6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1258AA6A">
            <w:pPr>
              <w:keepNext w:val="0"/>
              <w:keepLines w:val="0"/>
              <w:widowControl/>
              <w:suppressLineNumbers w:val="0"/>
              <w:adjustRightInd w:val="0"/>
              <w:snapToGrid w:val="0"/>
              <w:spacing w:line="576" w:lineRule="exact"/>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拟处置方式及收入</w:t>
            </w:r>
          </w:p>
        </w:tc>
        <w:tc>
          <w:tcPr>
            <w:tcW w:w="4309" w:type="pct"/>
            <w:gridSpan w:val="7"/>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117A1F50">
            <w:pPr>
              <w:keepNext w:val="0"/>
              <w:keepLines w:val="0"/>
              <w:widowControl/>
              <w:suppressLineNumbers w:val="0"/>
              <w:adjustRightInd w:val="0"/>
              <w:snapToGrid w:val="0"/>
              <w:spacing w:line="576" w:lineRule="exact"/>
              <w:ind w:firstLine="416" w:firstLineChars="200"/>
              <w:jc w:val="center"/>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（如：公开转让、残值变卖、无偿划转至XX单位等，预计收入： 元）</w:t>
            </w:r>
          </w:p>
        </w:tc>
      </w:tr>
      <w:tr w14:paraId="36DC7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jc w:val="center"/>
        </w:trPr>
        <w:tc>
          <w:tcPr>
            <w:tcW w:w="690" w:type="pc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745BB0B3">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单位内部决策情况</w:t>
            </w:r>
          </w:p>
        </w:tc>
        <w:tc>
          <w:tcPr>
            <w:tcW w:w="2199" w:type="pct"/>
            <w:gridSpan w:val="3"/>
            <w:tcBorders>
              <w:top w:val="single" w:color="000000" w:sz="4" w:space="0"/>
              <w:left w:val="single" w:color="000000" w:sz="4" w:space="0"/>
              <w:bottom w:val="nil"/>
              <w:right w:val="nil"/>
            </w:tcBorders>
            <w:noWrap w:val="0"/>
            <w:tcMar>
              <w:top w:w="-1" w:type="dxa"/>
              <w:left w:w="108" w:type="dxa"/>
              <w:bottom w:w="-1" w:type="dxa"/>
              <w:right w:w="108" w:type="dxa"/>
            </w:tcMar>
            <w:vAlign w:val="center"/>
          </w:tcPr>
          <w:p w14:paraId="5C53A678">
            <w:pPr>
              <w:keepNext w:val="0"/>
              <w:keepLines w:val="0"/>
              <w:widowControl/>
              <w:suppressLineNumbers w:val="0"/>
              <w:adjustRightInd w:val="0"/>
              <w:snapToGrid w:val="0"/>
              <w:spacing w:line="240" w:lineRule="auto"/>
              <w:ind w:firstLine="0" w:firstLineChars="0"/>
              <w:jc w:val="center"/>
              <w:textAlignment w:val="cente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 xml:space="preserve">已履行集体决策程序，会议纪要文号：内部公示：  </w:t>
            </w:r>
          </w:p>
          <w:p w14:paraId="2BC68E58">
            <w:pPr>
              <w:keepNext w:val="0"/>
              <w:keepLines w:val="0"/>
              <w:widowControl/>
              <w:suppressLineNumbers w:val="0"/>
              <w:adjustRightInd w:val="0"/>
              <w:snapToGrid w:val="0"/>
              <w:spacing w:line="240" w:lineRule="auto"/>
              <w:ind w:firstLine="0" w:firstLineChars="0"/>
              <w:jc w:val="center"/>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 xml:space="preserve"> ☑已公示5个工作日无异议</w:t>
            </w:r>
          </w:p>
        </w:tc>
        <w:tc>
          <w:tcPr>
            <w:tcW w:w="488" w:type="pct"/>
            <w:tcBorders>
              <w:top w:val="single" w:color="000000" w:sz="4" w:space="0"/>
              <w:left w:val="single" w:color="000000" w:sz="4" w:space="0"/>
              <w:bottom w:val="nil"/>
              <w:right w:val="nil"/>
            </w:tcBorders>
            <w:noWrap w:val="0"/>
            <w:tcMar>
              <w:top w:w="-1" w:type="dxa"/>
              <w:left w:w="108" w:type="dxa"/>
              <w:bottom w:w="-1" w:type="dxa"/>
              <w:right w:w="108" w:type="dxa"/>
            </w:tcMar>
            <w:vAlign w:val="center"/>
          </w:tcPr>
          <w:p w14:paraId="07508815">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主管部门审核意见</w:t>
            </w:r>
          </w:p>
        </w:tc>
        <w:tc>
          <w:tcPr>
            <w:tcW w:w="1621" w:type="pct"/>
            <w:gridSpan w:val="3"/>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504F5778">
            <w:pPr>
              <w:keepNext w:val="0"/>
              <w:keepLines w:val="0"/>
              <w:widowControl/>
              <w:suppressLineNumbers w:val="0"/>
              <w:adjustRightInd w:val="0"/>
              <w:snapToGrid w:val="0"/>
              <w:spacing w:line="240" w:lineRule="auto"/>
              <w:ind w:firstLine="0" w:firstLineChars="0"/>
              <w:jc w:val="center"/>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单位负责人签字：      （盖章）                        年      月      日</w:t>
            </w:r>
          </w:p>
        </w:tc>
      </w:tr>
      <w:tr w14:paraId="3509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6" w:hRule="atLeast"/>
          <w:jc w:val="center"/>
        </w:trPr>
        <w:tc>
          <w:tcPr>
            <w:tcW w:w="690" w:type="pct"/>
            <w:tcBorders>
              <w:top w:val="single" w:color="000000" w:sz="4" w:space="0"/>
              <w:left w:val="single" w:color="000000" w:sz="12" w:space="0"/>
              <w:bottom w:val="nil"/>
              <w:right w:val="nil"/>
            </w:tcBorders>
            <w:noWrap w:val="0"/>
            <w:tcMar>
              <w:top w:w="-1" w:type="dxa"/>
              <w:left w:w="108" w:type="dxa"/>
              <w:bottom w:w="-1" w:type="dxa"/>
              <w:right w:w="108" w:type="dxa"/>
            </w:tcMar>
            <w:vAlign w:val="center"/>
          </w:tcPr>
          <w:p w14:paraId="691B76D7">
            <w:pPr>
              <w:keepNext w:val="0"/>
              <w:keepLines w:val="0"/>
              <w:widowControl/>
              <w:suppressLineNumbers w:val="0"/>
              <w:adjustRightInd w:val="0"/>
              <w:snapToGrid w:val="0"/>
              <w:spacing w:line="240" w:lineRule="auto"/>
              <w:ind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县自然资源和规划局（仅土地）审核意见：</w:t>
            </w:r>
          </w:p>
        </w:tc>
        <w:tc>
          <w:tcPr>
            <w:tcW w:w="878" w:type="pct"/>
            <w:tcBorders>
              <w:top w:val="single" w:color="000000" w:sz="4" w:space="0"/>
              <w:left w:val="single" w:color="000000" w:sz="4" w:space="0"/>
              <w:bottom w:val="nil"/>
              <w:right w:val="nil"/>
            </w:tcBorders>
            <w:noWrap w:val="0"/>
            <w:tcMar>
              <w:top w:w="-1" w:type="dxa"/>
              <w:left w:w="108" w:type="dxa"/>
              <w:bottom w:w="-1" w:type="dxa"/>
              <w:right w:w="108" w:type="dxa"/>
            </w:tcMar>
            <w:vAlign w:val="center"/>
          </w:tcPr>
          <w:p w14:paraId="511867B0">
            <w:pPr>
              <w:keepNext w:val="0"/>
              <w:keepLines w:val="0"/>
              <w:widowControl/>
              <w:suppressLineNumbers w:val="0"/>
              <w:adjustRightInd w:val="0"/>
              <w:snapToGrid w:val="0"/>
              <w:spacing w:line="240" w:lineRule="auto"/>
              <w:ind w:firstLine="0" w:firstLineChars="0"/>
              <w:jc w:val="both"/>
              <w:textAlignment w:val="cente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负责人签字：</w:t>
            </w:r>
          </w:p>
          <w:p w14:paraId="7202282A">
            <w:pPr>
              <w:keepNext w:val="0"/>
              <w:keepLines w:val="0"/>
              <w:widowControl/>
              <w:suppressLineNumbers w:val="0"/>
              <w:adjustRightInd w:val="0"/>
              <w:snapToGrid w:val="0"/>
              <w:spacing w:line="240" w:lineRule="auto"/>
              <w:ind w:firstLine="0" w:firstLineChars="0"/>
              <w:jc w:val="both"/>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（盖章） 年  月  日</w:t>
            </w:r>
          </w:p>
        </w:tc>
        <w:tc>
          <w:tcPr>
            <w:tcW w:w="655" w:type="pct"/>
            <w:tcBorders>
              <w:top w:val="single" w:color="000000" w:sz="4" w:space="0"/>
              <w:left w:val="single" w:color="000000" w:sz="4" w:space="0"/>
              <w:right w:val="nil"/>
            </w:tcBorders>
            <w:noWrap w:val="0"/>
            <w:tcMar>
              <w:top w:w="-1" w:type="dxa"/>
              <w:left w:w="108" w:type="dxa"/>
              <w:bottom w:w="-1" w:type="dxa"/>
              <w:right w:w="108" w:type="dxa"/>
            </w:tcMar>
            <w:vAlign w:val="center"/>
          </w:tcPr>
          <w:p w14:paraId="701AAFEB">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机关事务管理部门审批意见（仅处置房屋、土地）</w:t>
            </w:r>
          </w:p>
        </w:tc>
        <w:tc>
          <w:tcPr>
            <w:tcW w:w="665" w:type="pct"/>
            <w:tcBorders>
              <w:top w:val="single" w:color="000000" w:sz="4" w:space="0"/>
              <w:left w:val="single" w:color="000000" w:sz="4" w:space="0"/>
              <w:right w:val="nil"/>
            </w:tcBorders>
            <w:noWrap w:val="0"/>
            <w:tcMar>
              <w:top w:w="-1" w:type="dxa"/>
              <w:left w:w="108" w:type="dxa"/>
              <w:bottom w:w="-1" w:type="dxa"/>
              <w:right w:w="108" w:type="dxa"/>
            </w:tcMar>
            <w:vAlign w:val="center"/>
          </w:tcPr>
          <w:p w14:paraId="4D933081">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负责人签字：</w:t>
            </w:r>
          </w:p>
          <w:p w14:paraId="71A39794">
            <w:pPr>
              <w:keepNext w:val="0"/>
              <w:keepLines w:val="0"/>
              <w:widowControl/>
              <w:suppressLineNumbers w:val="0"/>
              <w:adjustRightInd w:val="0"/>
              <w:snapToGrid w:val="0"/>
              <w:spacing w:line="240" w:lineRule="auto"/>
              <w:ind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（盖章）年 月日</w:t>
            </w:r>
          </w:p>
        </w:tc>
        <w:tc>
          <w:tcPr>
            <w:tcW w:w="488" w:type="pct"/>
            <w:tcBorders>
              <w:top w:val="single" w:color="000000" w:sz="4" w:space="0"/>
              <w:left w:val="single" w:color="000000" w:sz="4" w:space="0"/>
              <w:right w:val="nil"/>
            </w:tcBorders>
            <w:noWrap w:val="0"/>
            <w:tcMar>
              <w:top w:w="-1" w:type="dxa"/>
              <w:left w:w="108" w:type="dxa"/>
              <w:bottom w:w="-1" w:type="dxa"/>
              <w:right w:w="108" w:type="dxa"/>
            </w:tcMar>
            <w:vAlign w:val="center"/>
          </w:tcPr>
          <w:p w14:paraId="49D1DDCE">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县财政局审批意见</w:t>
            </w:r>
          </w:p>
        </w:tc>
        <w:tc>
          <w:tcPr>
            <w:tcW w:w="535" w:type="pct"/>
            <w:tcBorders>
              <w:top w:val="single" w:color="000000" w:sz="4" w:space="0"/>
              <w:left w:val="single" w:color="000000" w:sz="4" w:space="0"/>
              <w:right w:val="nil"/>
            </w:tcBorders>
            <w:noWrap w:val="0"/>
            <w:tcMar>
              <w:top w:w="-1" w:type="dxa"/>
              <w:left w:w="108" w:type="dxa"/>
              <w:bottom w:w="-1" w:type="dxa"/>
              <w:right w:w="108" w:type="dxa"/>
            </w:tcMar>
            <w:vAlign w:val="center"/>
          </w:tcPr>
          <w:p w14:paraId="27E96EC5">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负责人签字：</w:t>
            </w:r>
          </w:p>
          <w:p w14:paraId="19EB2526">
            <w:pPr>
              <w:keepNext w:val="0"/>
              <w:keepLines w:val="0"/>
              <w:widowControl/>
              <w:suppressLineNumbers w:val="0"/>
              <w:adjustRightInd w:val="0"/>
              <w:snapToGrid w:val="0"/>
              <w:spacing w:line="240" w:lineRule="auto"/>
              <w:ind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（盖章）年月日</w:t>
            </w:r>
          </w:p>
        </w:tc>
        <w:tc>
          <w:tcPr>
            <w:tcW w:w="379" w:type="pct"/>
            <w:tcBorders>
              <w:top w:val="single" w:color="000000" w:sz="4" w:space="0"/>
              <w:left w:val="single" w:color="000000" w:sz="4" w:space="0"/>
              <w:bottom w:val="nil"/>
              <w:right w:val="nil"/>
            </w:tcBorders>
            <w:noWrap w:val="0"/>
            <w:tcMar>
              <w:top w:w="-1" w:type="dxa"/>
              <w:left w:w="108" w:type="dxa"/>
              <w:bottom w:w="-1" w:type="dxa"/>
              <w:right w:w="108" w:type="dxa"/>
            </w:tcMar>
            <w:vAlign w:val="center"/>
          </w:tcPr>
          <w:p w14:paraId="766E21ED">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县政府审批意见</w:t>
            </w:r>
          </w:p>
        </w:tc>
        <w:tc>
          <w:tcPr>
            <w:tcW w:w="705" w:type="pct"/>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0928ABC9">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负责人签字：</w:t>
            </w:r>
          </w:p>
          <w:p w14:paraId="7413E1B0">
            <w:pPr>
              <w:keepNext w:val="0"/>
              <w:keepLines w:val="0"/>
              <w:widowControl/>
              <w:suppressLineNumbers w:val="0"/>
              <w:adjustRightInd w:val="0"/>
              <w:snapToGrid w:val="0"/>
              <w:spacing w:line="240" w:lineRule="auto"/>
              <w:ind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（盖章）</w:t>
            </w:r>
          </w:p>
          <w:p w14:paraId="41F5E173">
            <w:pPr>
              <w:keepNext w:val="0"/>
              <w:keepLines w:val="0"/>
              <w:widowControl/>
              <w:suppressLineNumbers w:val="0"/>
              <w:adjustRightInd w:val="0"/>
              <w:snapToGrid w:val="0"/>
              <w:spacing w:line="240" w:lineRule="auto"/>
              <w:ind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 xml:space="preserve">  年   月   日</w:t>
            </w:r>
          </w:p>
        </w:tc>
      </w:tr>
      <w:tr w14:paraId="7FBED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690" w:type="pct"/>
            <w:vMerge w:val="restart"/>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577E4F96">
            <w:pPr>
              <w:keepNext w:val="0"/>
              <w:keepLines w:val="0"/>
              <w:widowControl/>
              <w:suppressLineNumbers w:val="0"/>
              <w:adjustRightInd w:val="0"/>
              <w:snapToGrid w:val="0"/>
              <w:spacing w:line="240" w:lineRule="auto"/>
              <w:ind w:firstLine="0" w:firstLineChars="0"/>
              <w:jc w:val="left"/>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处置结果备案</w:t>
            </w:r>
          </w:p>
        </w:tc>
        <w:tc>
          <w:tcPr>
            <w:tcW w:w="4309" w:type="pct"/>
            <w:gridSpan w:val="7"/>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60D55E62">
            <w:pPr>
              <w:keepNext w:val="0"/>
              <w:keepLines w:val="0"/>
              <w:widowControl/>
              <w:suppressLineNumbers w:val="0"/>
              <w:adjustRightInd w:val="0"/>
              <w:snapToGrid w:val="0"/>
              <w:spacing w:line="240" w:lineRule="auto"/>
              <w:ind w:firstLine="0" w:firstLineChars="0"/>
              <w:jc w:val="center"/>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该资产已于 年 月 日通过（方式）完成处置，处置收入 元已按规定上缴。缴款书号：＿＿＿＿＿＿＿＿。</w:t>
            </w:r>
          </w:p>
        </w:tc>
      </w:tr>
      <w:tr w14:paraId="6804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690" w:type="pct"/>
            <w:vMerge w:val="continue"/>
            <w:tcBorders>
              <w:top w:val="single" w:color="auto" w:sz="4" w:space="0"/>
              <w:left w:val="single" w:color="auto" w:sz="12" w:space="0"/>
              <w:bottom w:val="nil"/>
              <w:right w:val="nil"/>
            </w:tcBorders>
            <w:noWrap w:val="0"/>
            <w:tcMar>
              <w:top w:w="-1" w:type="dxa"/>
              <w:left w:w="108" w:type="dxa"/>
              <w:bottom w:w="-1" w:type="dxa"/>
              <w:right w:w="108" w:type="dxa"/>
            </w:tcMar>
            <w:vAlign w:val="center"/>
          </w:tcPr>
          <w:p w14:paraId="57DC0B2F">
            <w:pPr>
              <w:adjustRightInd w:val="0"/>
              <w:snapToGrid w:val="0"/>
              <w:spacing w:line="240" w:lineRule="auto"/>
              <w:ind w:firstLine="0" w:firstLineChars="0"/>
              <w:rPr>
                <w:rFonts w:hint="default" w:ascii="Times New Roman" w:hAnsi="Times New Roman" w:eastAsia="方正仿宋_GB2312" w:cs="Times New Roman"/>
                <w:i w:val="0"/>
                <w:iCs w:val="0"/>
                <w:color w:val="000000"/>
                <w:spacing w:val="-6"/>
                <w:sz w:val="22"/>
                <w:szCs w:val="22"/>
                <w:u w:val="none"/>
              </w:rPr>
            </w:pPr>
          </w:p>
        </w:tc>
        <w:tc>
          <w:tcPr>
            <w:tcW w:w="4309" w:type="pct"/>
            <w:gridSpan w:val="7"/>
            <w:tcBorders>
              <w:top w:val="single" w:color="000000" w:sz="4" w:space="0"/>
              <w:left w:val="single" w:color="000000" w:sz="4" w:space="0"/>
              <w:bottom w:val="nil"/>
              <w:right w:val="single" w:color="000000" w:sz="12" w:space="0"/>
            </w:tcBorders>
            <w:noWrap w:val="0"/>
            <w:tcMar>
              <w:top w:w="-1" w:type="dxa"/>
              <w:left w:w="108" w:type="dxa"/>
              <w:bottom w:w="-1" w:type="dxa"/>
              <w:right w:w="108" w:type="dxa"/>
            </w:tcMar>
            <w:vAlign w:val="center"/>
          </w:tcPr>
          <w:p w14:paraId="6E139895">
            <w:pPr>
              <w:keepNext w:val="0"/>
              <w:keepLines w:val="0"/>
              <w:widowControl/>
              <w:suppressLineNumbers w:val="0"/>
              <w:adjustRightInd w:val="0"/>
              <w:snapToGrid w:val="0"/>
              <w:spacing w:line="240" w:lineRule="auto"/>
              <w:ind w:firstLine="0" w:firstLineChars="0"/>
              <w:jc w:val="center"/>
              <w:textAlignment w:val="center"/>
              <w:rPr>
                <w:rFonts w:hint="default" w:ascii="Times New Roman" w:hAnsi="Times New Roman" w:eastAsia="方正仿宋_GB2312" w:cs="Times New Roman"/>
                <w:i w:val="0"/>
                <w:iCs w:val="0"/>
                <w:color w:val="000000"/>
                <w:spacing w:val="-6"/>
                <w:sz w:val="22"/>
                <w:szCs w:val="22"/>
                <w:u w:val="none"/>
              </w:rPr>
            </w:pPr>
            <w:r>
              <w:rPr>
                <w:rFonts w:hint="default" w:ascii="Times New Roman" w:hAnsi="Times New Roman" w:eastAsia="方正仿宋_GB2312" w:cs="Times New Roman"/>
                <w:i w:val="0"/>
                <w:iCs w:val="0"/>
                <w:snapToGrid w:val="0"/>
                <w:color w:val="000000"/>
                <w:spacing w:val="-6"/>
                <w:kern w:val="0"/>
                <w:sz w:val="22"/>
                <w:szCs w:val="22"/>
                <w:u w:val="none"/>
                <w:lang w:val="en-US" w:eastAsia="zh-CN" w:bidi="ar"/>
              </w:rPr>
              <w:t>单位负责人签字：                （盖章）                        年      月      日</w:t>
            </w:r>
          </w:p>
        </w:tc>
      </w:tr>
      <w:tr w14:paraId="3FD9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8"/>
            <w:tcBorders>
              <w:top w:val="single" w:color="auto" w:sz="4" w:space="0"/>
              <w:left w:val="single" w:color="auto" w:sz="12" w:space="0"/>
              <w:bottom w:val="nil"/>
              <w:right w:val="single" w:color="auto" w:sz="12" w:space="0"/>
            </w:tcBorders>
            <w:noWrap w:val="0"/>
            <w:tcMar>
              <w:top w:w="-1" w:type="dxa"/>
              <w:left w:w="108" w:type="dxa"/>
              <w:bottom w:w="-1" w:type="dxa"/>
              <w:right w:w="108" w:type="dxa"/>
            </w:tcMar>
            <w:vAlign w:val="center"/>
          </w:tcPr>
          <w:p w14:paraId="04D0AE19">
            <w:pPr>
              <w:keepNext w:val="0"/>
              <w:keepLines w:val="0"/>
              <w:widowControl/>
              <w:suppressLineNumbers w:val="0"/>
              <w:adjustRightInd w:val="0"/>
              <w:snapToGrid w:val="0"/>
              <w:spacing w:line="240" w:lineRule="auto"/>
              <w:ind w:firstLine="0" w:firstLineChars="0"/>
              <w:jc w:val="left"/>
              <w:textAlignment w:val="center"/>
              <w:rPr>
                <w:rFonts w:hint="default" w:ascii="Times New Roman" w:hAnsi="Times New Roman" w:eastAsia="方正楷体_GB2312" w:cs="Times New Roman"/>
                <w:b/>
                <w:bCs/>
                <w:i w:val="0"/>
                <w:iCs w:val="0"/>
                <w:color w:val="4B5563"/>
                <w:spacing w:val="-6"/>
                <w:sz w:val="16"/>
                <w:szCs w:val="16"/>
                <w:u w:val="none"/>
              </w:rPr>
            </w:pPr>
            <w:r>
              <w:rPr>
                <w:rFonts w:hint="default" w:ascii="Times New Roman" w:hAnsi="Times New Roman" w:eastAsia="方正楷体_GB2312" w:cs="Times New Roman"/>
                <w:b/>
                <w:bCs/>
                <w:i w:val="0"/>
                <w:iCs w:val="0"/>
                <w:snapToGrid w:val="0"/>
                <w:color w:val="000000"/>
                <w:spacing w:val="-6"/>
                <w:kern w:val="0"/>
                <w:sz w:val="16"/>
                <w:szCs w:val="16"/>
                <w:u w:val="none"/>
                <w:lang w:val="en-US" w:eastAsia="zh-CN" w:bidi="ar"/>
              </w:rPr>
              <w:t>填表说明：</w:t>
            </w:r>
            <w:r>
              <w:rPr>
                <w:rFonts w:hint="default" w:ascii="Times New Roman" w:hAnsi="Times New Roman" w:eastAsia="方正楷体_GB2312" w:cs="Times New Roman"/>
                <w:i w:val="0"/>
                <w:iCs w:val="0"/>
                <w:snapToGrid w:val="0"/>
                <w:color w:val="000000"/>
                <w:spacing w:val="-6"/>
                <w:kern w:val="0"/>
                <w:sz w:val="16"/>
                <w:szCs w:val="16"/>
                <w:u w:val="none"/>
                <w:lang w:val="en-US" w:eastAsia="zh-CN" w:bidi="ar"/>
              </w:rPr>
              <w:t xml:space="preserve"> 1.本表一式三份（申报单位、主管部门、财政部门各一份）；需县政府审批的加报一份。       2.涉及土地、房屋、车辆、资产评估、货币性资产损失核销等事项，须随附相关证明材料。</w:t>
            </w:r>
          </w:p>
        </w:tc>
      </w:tr>
      <w:tr w14:paraId="21BA4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8"/>
            <w:tcBorders>
              <w:top w:val="single" w:color="auto" w:sz="4" w:space="0"/>
              <w:left w:val="single" w:color="auto" w:sz="12" w:space="0"/>
              <w:bottom w:val="nil"/>
              <w:right w:val="single" w:color="auto" w:sz="12" w:space="0"/>
            </w:tcBorders>
            <w:noWrap w:val="0"/>
            <w:tcMar>
              <w:top w:w="-1" w:type="dxa"/>
              <w:left w:w="108" w:type="dxa"/>
              <w:bottom w:w="-1" w:type="dxa"/>
              <w:right w:w="108" w:type="dxa"/>
            </w:tcMar>
            <w:vAlign w:val="center"/>
          </w:tcPr>
          <w:p w14:paraId="130BBD6D">
            <w:pPr>
              <w:keepNext w:val="0"/>
              <w:keepLines w:val="0"/>
              <w:widowControl/>
              <w:suppressLineNumbers w:val="0"/>
              <w:adjustRightInd w:val="0"/>
              <w:snapToGrid w:val="0"/>
              <w:spacing w:line="240" w:lineRule="auto"/>
              <w:ind w:left="0" w:leftChars="0" w:firstLine="0" w:firstLineChars="0"/>
              <w:jc w:val="left"/>
              <w:textAlignment w:val="center"/>
              <w:rPr>
                <w:rFonts w:hint="default" w:ascii="Times New Roman" w:hAnsi="Times New Roman" w:eastAsia="方正楷体_GB2312" w:cs="Times New Roman"/>
                <w:i w:val="0"/>
                <w:iCs w:val="0"/>
                <w:snapToGrid w:val="0"/>
                <w:color w:val="000000"/>
                <w:spacing w:val="-6"/>
                <w:kern w:val="0"/>
                <w:sz w:val="16"/>
                <w:szCs w:val="16"/>
                <w:u w:val="none"/>
                <w:lang w:val="en-US" w:eastAsia="zh-CN" w:bidi="ar"/>
              </w:rPr>
            </w:pPr>
            <w:r>
              <w:rPr>
                <w:rFonts w:hint="default" w:ascii="Times New Roman" w:hAnsi="Times New Roman" w:eastAsia="方正楷体_GB2312" w:cs="Times New Roman"/>
                <w:i w:val="0"/>
                <w:iCs w:val="0"/>
                <w:snapToGrid w:val="0"/>
                <w:color w:val="000000"/>
                <w:spacing w:val="-6"/>
                <w:kern w:val="0"/>
                <w:sz w:val="16"/>
                <w:szCs w:val="16"/>
                <w:u w:val="none"/>
                <w:lang w:val="en-US" w:eastAsia="zh-CN" w:bidi="ar"/>
              </w:rPr>
              <w:t>3.处置完成后7个工作日内，将收入上缴凭证及处置结果报县财政局备案，并完成资产系统核销。             4.已核销资产须建立“账销案存”备查台账，继续追索。5.将公示无异议的说明（附公示现场照片或网站截图）作为附件。</w:t>
            </w:r>
          </w:p>
        </w:tc>
      </w:tr>
    </w:tbl>
    <w:p w14:paraId="428F2C38">
      <w:pPr>
        <w:keepNext w:val="0"/>
        <w:keepLines w:val="0"/>
        <w:widowControl/>
        <w:suppressLineNumbers w:val="0"/>
        <w:snapToGrid/>
        <w:spacing w:beforeAutospacing="0" w:afterAutospacing="0" w:line="360" w:lineRule="auto"/>
        <w:ind w:left="0" w:leftChars="0" w:right="0" w:rightChars="0" w:firstLine="560" w:firstLineChars="200"/>
        <w:jc w:val="left"/>
        <w:textAlignment w:val="center"/>
        <w:rPr>
          <w:rFonts w:hint="default" w:ascii="Times New Roman" w:hAnsi="Times New Roman" w:eastAsia="宋体" w:cs="Times New Roman"/>
          <w:i w:val="0"/>
          <w:iCs w:val="0"/>
          <w:snapToGrid w:val="0"/>
          <w:color w:val="auto"/>
          <w:kern w:val="0"/>
          <w:sz w:val="28"/>
          <w:szCs w:val="24"/>
          <w:u w:val="none"/>
          <w:lang w:val="en-US" w:eastAsia="zh-CN" w:bidi="ar"/>
        </w:rPr>
        <w:sectPr>
          <w:headerReference r:id="rId6" w:type="default"/>
          <w:footerReference r:id="rId8" w:type="default"/>
          <w:headerReference r:id="rId7" w:type="even"/>
          <w:footerReference r:id="rId9" w:type="even"/>
          <w:pgSz w:w="16838" w:h="11906" w:orient="landscape"/>
          <w:pgMar w:top="1007" w:right="1432" w:bottom="-181" w:left="1720" w:header="0" w:footer="1447" w:gutter="0"/>
          <w:pgBorders>
            <w:top w:val="none" w:sz="0" w:space="0"/>
            <w:left w:val="none" w:sz="0" w:space="0"/>
            <w:bottom w:val="none" w:sz="0" w:space="0"/>
            <w:right w:val="none" w:sz="0" w:space="0"/>
          </w:pgBorders>
          <w:pgNumType w:fmt="decimal"/>
          <w:cols w:space="720" w:num="1"/>
        </w:sectPr>
      </w:pPr>
    </w:p>
    <w:p w14:paraId="17E40785">
      <w:pPr>
        <w:widowControl/>
        <w:overflowPunct w:val="0"/>
        <w:topLinePunct/>
        <w:spacing w:line="560" w:lineRule="exact"/>
        <w:jc w:val="both"/>
        <w:outlineLvl w:val="0"/>
        <w:rPr>
          <w:rFonts w:hint="default" w:ascii="Times New Roman" w:hAnsi="Times New Roman" w:eastAsia="黑体" w:cs="Times New Roman"/>
          <w:sz w:val="32"/>
          <w:szCs w:val="32"/>
        </w:rPr>
      </w:pPr>
      <mc:AlternateContent>
        <mc:Choice Requires="wpsCustomData">
          <wpsCustomData:docfieldStart id="7" docfieldname="附件_4" hidden="0" print="1" readonly="0" index="4"/>
        </mc:Choice>
      </mc:AlternateContent>
      <w:r>
        <w:rPr>
          <w:rFonts w:hint="default" w:ascii="Times New Roman" w:hAnsi="Times New Roman" w:eastAsia="黑体" w:cs="Times New Roman"/>
          <w:sz w:val="32"/>
          <w:szCs w:val="32"/>
        </w:rPr>
        <w:t>附件4</w:t>
      </w:r>
      <w:r>
        <w:rPr>
          <w:rFonts w:hint="default" w:ascii="Times New Roman" w:hAnsi="Times New Roman" w:eastAsia="黑体" w:cs="Times New Roman"/>
          <w:sz w:val="32"/>
          <w:szCs w:val="32"/>
          <w:lang w:val="en-US" w:eastAsia="zh-CN"/>
        </w:rPr>
        <w:t xml:space="preserve">                   </w:t>
      </w:r>
      <mc:AlternateContent>
        <mc:Choice Requires="wpsCustomData">
          <wpsCustomData:docfieldEnd id="7"/>
        </mc:Choice>
      </mc:AlternateContent>
      <w:r>
        <w:rPr>
          <w:rFonts w:hint="default" w:ascii="Times New Roman" w:hAnsi="Times New Roman" w:eastAsia="黑体" w:cs="Times New Roman"/>
          <w:sz w:val="32"/>
          <w:szCs w:val="32"/>
        </w:rPr>
        <w:t>灌云县行政事业性国有资产处置清单</w:t>
      </w:r>
    </w:p>
    <w:tbl>
      <w:tblPr>
        <w:tblStyle w:val="10"/>
        <w:tblW w:w="13163" w:type="dxa"/>
        <w:jc w:val="center"/>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Layout w:type="fixed"/>
        <w:tblCellMar>
          <w:top w:w="0" w:type="dxa"/>
          <w:left w:w="0" w:type="dxa"/>
          <w:bottom w:w="0" w:type="dxa"/>
          <w:right w:w="0" w:type="dxa"/>
        </w:tblCellMar>
      </w:tblPr>
      <w:tblGrid>
        <w:gridCol w:w="1228"/>
        <w:gridCol w:w="1850"/>
        <w:gridCol w:w="2820"/>
        <w:gridCol w:w="936"/>
        <w:gridCol w:w="1494"/>
        <w:gridCol w:w="1173"/>
        <w:gridCol w:w="1695"/>
        <w:gridCol w:w="1158"/>
        <w:gridCol w:w="809"/>
      </w:tblGrid>
      <w:tr w14:paraId="23672489">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4F81BD" w:sz="6" w:space="0"/>
              <w:left w:val="single" w:color="4F81BD" w:sz="6" w:space="0"/>
              <w:bottom w:val="single" w:color="4F81BD" w:sz="6" w:space="0"/>
              <w:right w:val="single" w:color="B8CCE4" w:sz="6" w:space="0"/>
            </w:tcBorders>
            <w:shd w:val="clear" w:color="auto" w:fill="4F81BD"/>
            <w:noWrap w:val="0"/>
            <w:tcMar>
              <w:left w:w="108" w:type="dxa"/>
              <w:right w:w="108" w:type="dxa"/>
            </w:tcMar>
            <w:vAlign w:val="top"/>
          </w:tcPr>
          <w:p w14:paraId="27FBB0FD">
            <w:pPr>
              <w:widowControl w:val="0"/>
              <w:adjustRightInd w:val="0"/>
              <w:snapToGrid w:val="0"/>
              <w:spacing w:before="109" w:line="187" w:lineRule="auto"/>
              <w:ind w:left="0" w:leftChars="0" w:firstLine="186" w:firstLineChars="10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3"/>
                <w:kern w:val="2"/>
                <w:sz w:val="18"/>
                <w:szCs w:val="18"/>
                <w:lang w:val="en-US" w:eastAsia="en-US" w:bidi="ar-SA"/>
              </w:rPr>
              <w:t>卡片编号</w:t>
            </w:r>
          </w:p>
        </w:tc>
        <w:tc>
          <w:tcPr>
            <w:tcW w:w="1850" w:type="dxa"/>
            <w:tcBorders>
              <w:top w:val="single" w:color="4F81BD" w:sz="6" w:space="0"/>
              <w:left w:val="single" w:color="B8CCE4" w:sz="6" w:space="0"/>
              <w:bottom w:val="single" w:color="4F81BD" w:sz="6" w:space="0"/>
              <w:right w:val="single" w:color="B8CCE4" w:sz="6" w:space="0"/>
            </w:tcBorders>
            <w:shd w:val="clear" w:color="auto" w:fill="4F81BD"/>
            <w:noWrap w:val="0"/>
            <w:tcMar>
              <w:left w:w="108" w:type="dxa"/>
              <w:right w:w="108" w:type="dxa"/>
            </w:tcMar>
            <w:vAlign w:val="top"/>
          </w:tcPr>
          <w:p w14:paraId="1E13F441">
            <w:pPr>
              <w:widowControl w:val="0"/>
              <w:adjustRightInd w:val="0"/>
              <w:snapToGrid w:val="0"/>
              <w:spacing w:before="109" w:line="187" w:lineRule="auto"/>
              <w:ind w:firstLine="376" w:firstLineChars="20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4"/>
                <w:kern w:val="2"/>
                <w:sz w:val="18"/>
                <w:szCs w:val="18"/>
                <w:lang w:val="en-US" w:eastAsia="en-US" w:bidi="ar-SA"/>
              </w:rPr>
              <w:t>资产名称</w:t>
            </w:r>
          </w:p>
        </w:tc>
        <w:tc>
          <w:tcPr>
            <w:tcW w:w="2820" w:type="dxa"/>
            <w:tcBorders>
              <w:top w:val="single" w:color="4F81BD" w:sz="6" w:space="0"/>
              <w:left w:val="single" w:color="B8CCE4" w:sz="6" w:space="0"/>
              <w:bottom w:val="single" w:color="4F81BD" w:sz="6" w:space="0"/>
              <w:right w:val="single" w:color="B8CCE4" w:sz="6" w:space="0"/>
            </w:tcBorders>
            <w:shd w:val="clear" w:color="auto" w:fill="4F81BD"/>
            <w:noWrap w:val="0"/>
            <w:tcMar>
              <w:left w:w="108" w:type="dxa"/>
              <w:right w:w="108" w:type="dxa"/>
            </w:tcMar>
            <w:vAlign w:val="top"/>
          </w:tcPr>
          <w:p w14:paraId="27F56A4B">
            <w:pPr>
              <w:widowControl w:val="0"/>
              <w:adjustRightInd w:val="0"/>
              <w:snapToGrid w:val="0"/>
              <w:spacing w:before="109" w:line="187" w:lineRule="auto"/>
              <w:ind w:left="955" w:firstLine="376" w:firstLineChars="20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4"/>
                <w:kern w:val="2"/>
                <w:sz w:val="18"/>
                <w:szCs w:val="18"/>
                <w:lang w:val="en-US" w:eastAsia="en-US" w:bidi="ar-SA"/>
              </w:rPr>
              <w:t>规格型号</w:t>
            </w:r>
          </w:p>
        </w:tc>
        <w:tc>
          <w:tcPr>
            <w:tcW w:w="936" w:type="dxa"/>
            <w:tcBorders>
              <w:top w:val="single" w:color="4F81BD" w:sz="6" w:space="0"/>
              <w:left w:val="single" w:color="B8CCE4" w:sz="6" w:space="0"/>
              <w:bottom w:val="single" w:color="4F81BD" w:sz="6" w:space="0"/>
              <w:right w:val="single" w:color="4F81BD" w:sz="6" w:space="0"/>
            </w:tcBorders>
            <w:shd w:val="clear" w:color="auto" w:fill="4F81BD"/>
            <w:noWrap w:val="0"/>
            <w:tcMar>
              <w:left w:w="108" w:type="dxa"/>
              <w:right w:w="108" w:type="dxa"/>
            </w:tcMar>
            <w:vAlign w:val="top"/>
          </w:tcPr>
          <w:p w14:paraId="3C030686">
            <w:pPr>
              <w:widowControl w:val="0"/>
              <w:adjustRightInd w:val="0"/>
              <w:snapToGrid w:val="0"/>
              <w:spacing w:before="111" w:line="186" w:lineRule="auto"/>
              <w:ind w:left="0" w:leftChars="0" w:firstLine="0" w:firstLineChars="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4"/>
                <w:kern w:val="2"/>
                <w:sz w:val="18"/>
                <w:szCs w:val="18"/>
                <w:lang w:val="en-US" w:eastAsia="en-US" w:bidi="ar-SA"/>
              </w:rPr>
              <w:t>数量</w:t>
            </w:r>
          </w:p>
        </w:tc>
        <w:tc>
          <w:tcPr>
            <w:tcW w:w="1494" w:type="dxa"/>
            <w:tcBorders>
              <w:top w:val="single" w:color="4F81BD" w:sz="6" w:space="0"/>
              <w:left w:val="single" w:color="B8CCE4" w:sz="6" w:space="0"/>
              <w:bottom w:val="single" w:color="4F81BD" w:sz="6" w:space="0"/>
              <w:right w:val="single" w:color="B8CCE4" w:sz="6" w:space="0"/>
            </w:tcBorders>
            <w:shd w:val="clear" w:color="auto" w:fill="4F81BD"/>
            <w:noWrap w:val="0"/>
            <w:tcMar>
              <w:left w:w="108" w:type="dxa"/>
              <w:right w:w="108" w:type="dxa"/>
            </w:tcMar>
            <w:vAlign w:val="top"/>
          </w:tcPr>
          <w:p w14:paraId="492B4847">
            <w:pPr>
              <w:widowControl w:val="0"/>
              <w:adjustRightInd w:val="0"/>
              <w:snapToGrid w:val="0"/>
              <w:spacing w:before="109" w:line="187" w:lineRule="auto"/>
              <w:ind w:left="0" w:leftChars="0" w:firstLine="0" w:firstLineChars="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6"/>
                <w:kern w:val="2"/>
                <w:sz w:val="18"/>
                <w:szCs w:val="18"/>
                <w:lang w:val="en-US" w:eastAsia="en-US" w:bidi="ar-SA"/>
              </w:rPr>
              <w:t>账面价值（元）</w:t>
            </w:r>
          </w:p>
        </w:tc>
        <w:tc>
          <w:tcPr>
            <w:tcW w:w="1173" w:type="dxa"/>
            <w:tcBorders>
              <w:top w:val="single" w:color="4F81BD" w:sz="6" w:space="0"/>
              <w:left w:val="single" w:color="B8CCE4" w:sz="6" w:space="0"/>
              <w:bottom w:val="single" w:color="4F81BD" w:sz="6" w:space="0"/>
              <w:right w:val="single" w:color="B8CCE4" w:sz="6" w:space="0"/>
            </w:tcBorders>
            <w:shd w:val="clear" w:color="auto" w:fill="4F81BD"/>
            <w:noWrap w:val="0"/>
            <w:tcMar>
              <w:left w:w="108" w:type="dxa"/>
              <w:right w:w="108" w:type="dxa"/>
            </w:tcMar>
            <w:vAlign w:val="top"/>
          </w:tcPr>
          <w:p w14:paraId="7CEB8386">
            <w:pPr>
              <w:widowControl w:val="0"/>
              <w:adjustRightInd w:val="0"/>
              <w:snapToGrid w:val="0"/>
              <w:spacing w:before="111" w:line="186" w:lineRule="auto"/>
              <w:ind w:left="0" w:leftChars="0" w:firstLine="0" w:firstLineChars="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4"/>
                <w:kern w:val="2"/>
                <w:sz w:val="18"/>
                <w:szCs w:val="18"/>
                <w:lang w:val="en-US" w:eastAsia="en-US" w:bidi="ar-SA"/>
              </w:rPr>
              <w:t>购置日期</w:t>
            </w:r>
          </w:p>
        </w:tc>
        <w:tc>
          <w:tcPr>
            <w:tcW w:w="1695" w:type="dxa"/>
            <w:tcBorders>
              <w:top w:val="single" w:color="4F81BD" w:sz="6" w:space="0"/>
              <w:left w:val="single" w:color="B8CCE4" w:sz="6" w:space="0"/>
              <w:bottom w:val="single" w:color="4F81BD" w:sz="6" w:space="0"/>
              <w:right w:val="single" w:color="B8CCE4" w:sz="6" w:space="0"/>
            </w:tcBorders>
            <w:shd w:val="clear" w:color="auto" w:fill="4F81BD"/>
            <w:noWrap w:val="0"/>
            <w:tcMar>
              <w:left w:w="108" w:type="dxa"/>
              <w:right w:w="108" w:type="dxa"/>
            </w:tcMar>
            <w:vAlign w:val="top"/>
          </w:tcPr>
          <w:p w14:paraId="00048F18">
            <w:pPr>
              <w:widowControl w:val="0"/>
              <w:adjustRightInd w:val="0"/>
              <w:snapToGrid w:val="0"/>
              <w:spacing w:line="240" w:lineRule="auto"/>
              <w:ind w:left="0" w:firstLine="0" w:firstLineChars="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4"/>
                <w:kern w:val="2"/>
                <w:sz w:val="18"/>
                <w:szCs w:val="18"/>
                <w:lang w:val="en-US" w:eastAsia="en-US" w:bidi="ar-SA"/>
              </w:rPr>
              <w:t>处置方式</w:t>
            </w:r>
          </w:p>
        </w:tc>
        <w:tc>
          <w:tcPr>
            <w:tcW w:w="1158" w:type="dxa"/>
            <w:tcBorders>
              <w:top w:val="single" w:color="4F81BD" w:sz="6" w:space="0"/>
              <w:left w:val="single" w:color="B8CCE4" w:sz="6" w:space="0"/>
              <w:bottom w:val="single" w:color="4F81BD" w:sz="6" w:space="0"/>
              <w:right w:val="single" w:color="B8CCE4" w:sz="6" w:space="0"/>
            </w:tcBorders>
            <w:shd w:val="clear" w:color="auto" w:fill="4F81BD"/>
            <w:noWrap w:val="0"/>
            <w:tcMar>
              <w:left w:w="108" w:type="dxa"/>
              <w:right w:w="108" w:type="dxa"/>
            </w:tcMar>
            <w:vAlign w:val="top"/>
          </w:tcPr>
          <w:p w14:paraId="06B7F21F">
            <w:pPr>
              <w:widowControl w:val="0"/>
              <w:adjustRightInd w:val="0"/>
              <w:snapToGrid w:val="0"/>
              <w:spacing w:before="109" w:line="187" w:lineRule="auto"/>
              <w:ind w:left="0" w:leftChars="0" w:firstLine="0" w:firstLineChars="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4"/>
                <w:kern w:val="2"/>
                <w:sz w:val="18"/>
                <w:szCs w:val="18"/>
                <w:lang w:val="en-US" w:eastAsia="en-US" w:bidi="ar-SA"/>
              </w:rPr>
              <w:t>处置原因</w:t>
            </w:r>
          </w:p>
        </w:tc>
        <w:tc>
          <w:tcPr>
            <w:tcW w:w="809" w:type="dxa"/>
            <w:tcBorders>
              <w:top w:val="single" w:color="4F81BD" w:sz="6" w:space="0"/>
              <w:left w:val="single" w:color="B8CCE4" w:sz="6" w:space="0"/>
              <w:bottom w:val="single" w:color="4F81BD" w:sz="6" w:space="0"/>
              <w:right w:val="single" w:color="B8CCE4" w:sz="6" w:space="0"/>
            </w:tcBorders>
            <w:shd w:val="clear" w:color="auto" w:fill="4F81BD"/>
            <w:noWrap w:val="0"/>
            <w:tcMar>
              <w:left w:w="108" w:type="dxa"/>
              <w:right w:w="108" w:type="dxa"/>
            </w:tcMar>
            <w:vAlign w:val="top"/>
          </w:tcPr>
          <w:p w14:paraId="1046F9AC">
            <w:pPr>
              <w:widowControl w:val="0"/>
              <w:adjustRightInd w:val="0"/>
              <w:snapToGrid w:val="0"/>
              <w:spacing w:before="110" w:line="186" w:lineRule="auto"/>
              <w:ind w:left="0" w:leftChars="0" w:firstLine="0" w:firstLineChars="0"/>
              <w:jc w:val="center"/>
              <w:rPr>
                <w:rFonts w:hint="default" w:ascii="Times New Roman" w:hAnsi="Times New Roman" w:eastAsia="微软雅黑" w:cs="Times New Roman"/>
                <w:b/>
                <w:i w:val="0"/>
                <w:color w:val="auto"/>
                <w:spacing w:val="-6"/>
                <w:kern w:val="2"/>
                <w:sz w:val="18"/>
                <w:szCs w:val="18"/>
                <w:lang w:val="en-US" w:eastAsia="en-US" w:bidi="ar-SA"/>
              </w:rPr>
            </w:pPr>
            <w:r>
              <w:rPr>
                <w:rFonts w:hint="default" w:ascii="Times New Roman" w:hAnsi="Times New Roman" w:eastAsia="微软雅黑" w:cs="Times New Roman"/>
                <w:b/>
                <w:bCs/>
                <w:i w:val="0"/>
                <w:color w:val="FFFFFF"/>
                <w:spacing w:val="3"/>
                <w:kern w:val="2"/>
                <w:sz w:val="18"/>
                <w:szCs w:val="18"/>
                <w:lang w:val="en-US" w:eastAsia="en-US" w:bidi="ar-SA"/>
              </w:rPr>
              <w:t>操作</w:t>
            </w:r>
          </w:p>
        </w:tc>
      </w:tr>
      <w:tr w14:paraId="0EF27C28">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3163" w:type="dxa"/>
            <w:gridSpan w:val="9"/>
            <w:tcBorders>
              <w:top w:val="single" w:color="4F81BD"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4213B61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auto"/>
                <w:spacing w:val="4"/>
                <w:kern w:val="2"/>
                <w:sz w:val="21"/>
                <w:szCs w:val="21"/>
                <w:lang w:val="en-US" w:eastAsia="zh-CN" w:bidi="ar-SA"/>
              </w:rPr>
              <w:t>●</w:t>
            </w:r>
            <w:r>
              <w:rPr>
                <w:rFonts w:hint="default" w:ascii="Times New Roman" w:hAnsi="Times New Roman" w:eastAsia="微软雅黑" w:cs="Times New Roman"/>
                <w:b w:val="0"/>
                <w:i w:val="0"/>
                <w:color w:val="auto"/>
                <w:spacing w:val="4"/>
                <w:kern w:val="2"/>
                <w:sz w:val="21"/>
                <w:szCs w:val="21"/>
                <w:lang w:val="en-US" w:eastAsia="en-US" w:bidi="ar-SA"/>
              </w:rPr>
              <w:t xml:space="preserve"> </w:t>
            </w:r>
            <w:r>
              <w:rPr>
                <w:rFonts w:hint="default" w:ascii="Times New Roman" w:hAnsi="Times New Roman" w:eastAsia="微软雅黑" w:cs="Times New Roman"/>
                <w:b w:val="0"/>
                <w:bCs/>
                <w:i w:val="0"/>
                <w:color w:val="1A3C6E"/>
                <w:spacing w:val="4"/>
                <w:kern w:val="2"/>
                <w:sz w:val="21"/>
                <w:szCs w:val="21"/>
                <w:lang w:val="en-US" w:eastAsia="en-US" w:bidi="ar-SA"/>
              </w:rPr>
              <w:t xml:space="preserve">土地、房屋及构筑物    </w:t>
            </w:r>
            <w:r>
              <w:rPr>
                <w:rFonts w:hint="default" w:ascii="Times New Roman" w:hAnsi="Times New Roman" w:eastAsia="微软雅黑" w:cs="Times New Roman"/>
                <w:b w:val="0"/>
                <w:i w:val="0"/>
                <w:color w:val="4A6A8A"/>
                <w:spacing w:val="4"/>
                <w:kern w:val="2"/>
                <w:sz w:val="17"/>
                <w:szCs w:val="17"/>
                <w:lang w:val="en-US" w:eastAsia="en-US" w:bidi="ar-SA"/>
              </w:rPr>
              <w:t>共</w:t>
            </w:r>
            <w:r>
              <w:rPr>
                <w:rFonts w:hint="default" w:ascii="Times New Roman" w:hAnsi="Times New Roman" w:eastAsia="微软雅黑" w:cs="Times New Roman"/>
                <w:b w:val="0"/>
                <w:i w:val="0"/>
                <w:color w:val="4A6A8A"/>
                <w:spacing w:val="12"/>
                <w:w w:val="101"/>
                <w:kern w:val="2"/>
                <w:sz w:val="17"/>
                <w:szCs w:val="17"/>
                <w:lang w:val="en-US" w:eastAsia="en-US" w:bidi="ar-SA"/>
              </w:rPr>
              <w:t xml:space="preserve"> </w:t>
            </w:r>
            <w:r>
              <w:rPr>
                <w:rFonts w:hint="default" w:ascii="Times New Roman" w:hAnsi="Times New Roman" w:eastAsia="微软雅黑" w:cs="Times New Roman"/>
                <w:b w:val="0"/>
                <w:i w:val="0"/>
                <w:color w:val="4A6A8A"/>
                <w:spacing w:val="4"/>
                <w:kern w:val="2"/>
                <w:sz w:val="17"/>
                <w:szCs w:val="17"/>
                <w:lang w:val="en-US" w:eastAsia="en-US" w:bidi="ar-SA"/>
              </w:rPr>
              <w:t>3 项</w:t>
            </w:r>
          </w:p>
        </w:tc>
      </w:tr>
      <w:tr w14:paraId="171A999A">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705DC763">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2"/>
                <w:kern w:val="2"/>
                <w:sz w:val="17"/>
                <w:szCs w:val="17"/>
                <w:lang w:val="en-US" w:eastAsia="en-US" w:bidi="ar-SA"/>
              </w:rPr>
              <w:t>GT-001</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E65965B">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办公楼</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A6351E9">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框架结构，5层，建筑面积3200㎡</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68DB682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A5D705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2"/>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A75124E">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2015-06-30</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5D714CF">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拍卖</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C44E5C1">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报废重建</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107B6719">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1D7BB19B">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2FAE5DFD">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2"/>
                <w:kern w:val="2"/>
                <w:sz w:val="17"/>
                <w:szCs w:val="17"/>
                <w:lang w:val="en-US" w:eastAsia="en-US" w:bidi="ar-SA"/>
              </w:rPr>
              <w:t>GT-002</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2C5D33D">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停车场</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E21B023">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混凝土地面，1200㎡</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408F6943">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A62D6A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1"/>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CB7A5FC">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2017-03-15</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6C0BB1B">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转让</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135705E">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规划调整</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113E9A6D">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07C92A2C">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731FF6F6">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2"/>
                <w:kern w:val="2"/>
                <w:position w:val="2"/>
                <w:sz w:val="17"/>
                <w:szCs w:val="17"/>
                <w:lang w:val="en-US" w:eastAsia="en-US" w:bidi="ar-SA"/>
              </w:rPr>
              <w:t>GT-003</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16331FAC">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仓库</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0C80850">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钢结构，800㎡</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0E0390CD">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position w:val="2"/>
                <w:sz w:val="17"/>
                <w:szCs w:val="17"/>
                <w:lang w:val="en-US" w:eastAsia="en-US"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BC9B735">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1"/>
                <w:kern w:val="2"/>
                <w:positio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A93047E">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position w:val="2"/>
                <w:sz w:val="17"/>
                <w:szCs w:val="17"/>
                <w:lang w:val="en-US" w:eastAsia="en-US" w:bidi="ar-SA"/>
              </w:rPr>
              <w:t>2018-09-20</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111E0A2D">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报废</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BC64872">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结构老化</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228D052">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2CB06D5D">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90" w:hRule="atLeast"/>
          <w:jc w:val="center"/>
        </w:trPr>
        <w:tc>
          <w:tcPr>
            <w:tcW w:w="5898" w:type="dxa"/>
            <w:gridSpan w:val="3"/>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599A041B">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1A3C6E"/>
                <w:spacing w:val="6"/>
                <w:kern w:val="2"/>
                <w:sz w:val="15"/>
                <w:szCs w:val="15"/>
                <w:lang w:val="en-US" w:eastAsia="en-US" w:bidi="ar-SA"/>
              </w:rPr>
              <w:t>小计</w:t>
            </w:r>
          </w:p>
        </w:tc>
        <w:tc>
          <w:tcPr>
            <w:tcW w:w="936"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9941375">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0F2B4A"/>
                <w:spacing w:val="-6"/>
                <w:kern w:val="2"/>
                <w:position w:val="2"/>
                <w:sz w:val="15"/>
                <w:szCs w:val="15"/>
                <w:lang w:val="en-US" w:eastAsia="en-US" w:bidi="ar-SA"/>
              </w:rPr>
              <w:t>3</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049B41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0F2B4A"/>
                <w:spacing w:val="3"/>
                <w:kern w:val="2"/>
                <w:position w:val="2"/>
                <w:sz w:val="15"/>
                <w:szCs w:val="15"/>
                <w:lang w:val="en-US" w:eastAsia="zh-CN" w:bidi="ar-SA"/>
              </w:rPr>
              <w:t>0</w:t>
            </w:r>
            <w:r>
              <w:rPr>
                <w:rFonts w:hint="default" w:ascii="Times New Roman" w:hAnsi="Times New Roman" w:eastAsia="微软雅黑" w:cs="Times New Roman"/>
                <w:b w:val="0"/>
                <w:bCs/>
                <w:i w:val="0"/>
                <w:color w:val="0F2B4A"/>
                <w:spacing w:val="3"/>
                <w:kern w:val="2"/>
                <w:position w:val="2"/>
                <w:sz w:val="15"/>
                <w:szCs w:val="15"/>
                <w:lang w:val="en-US" w:eastAsia="en-US" w:bidi="ar-SA"/>
              </w:rPr>
              <w:t>00.00</w:t>
            </w:r>
          </w:p>
        </w:tc>
        <w:tc>
          <w:tcPr>
            <w:tcW w:w="4835" w:type="dxa"/>
            <w:gridSpan w:val="4"/>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2C0F5F6E">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00B4014C">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3163" w:type="dxa"/>
            <w:gridSpan w:val="9"/>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5B8F7161">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auto"/>
                <w:spacing w:val="5"/>
                <w:kern w:val="2"/>
                <w:sz w:val="21"/>
                <w:szCs w:val="21"/>
                <w:lang w:val="en-US" w:eastAsia="zh-CN" w:bidi="ar-SA"/>
              </w:rPr>
              <w:t>●</w:t>
            </w:r>
            <w:r>
              <w:rPr>
                <w:rFonts w:hint="default" w:ascii="Times New Roman" w:hAnsi="Times New Roman" w:eastAsia="微软雅黑" w:cs="Times New Roman"/>
                <w:b w:val="0"/>
                <w:i w:val="0"/>
                <w:color w:val="auto"/>
                <w:spacing w:val="5"/>
                <w:kern w:val="2"/>
                <w:sz w:val="21"/>
                <w:szCs w:val="21"/>
                <w:lang w:val="en-US" w:eastAsia="en-US" w:bidi="ar-SA"/>
              </w:rPr>
              <w:t xml:space="preserve"> </w:t>
            </w:r>
            <w:r>
              <w:rPr>
                <w:rFonts w:hint="default" w:ascii="Times New Roman" w:hAnsi="Times New Roman" w:eastAsia="微软雅黑" w:cs="Times New Roman"/>
                <w:b w:val="0"/>
                <w:bCs/>
                <w:i w:val="0"/>
                <w:color w:val="1A3C6E"/>
                <w:spacing w:val="5"/>
                <w:kern w:val="2"/>
                <w:sz w:val="21"/>
                <w:szCs w:val="21"/>
                <w:lang w:val="en-US" w:eastAsia="en-US" w:bidi="ar-SA"/>
              </w:rPr>
              <w:t>通用设备</w:t>
            </w:r>
            <w:r>
              <w:rPr>
                <w:rFonts w:hint="default" w:ascii="Times New Roman" w:hAnsi="Times New Roman" w:eastAsia="微软雅黑" w:cs="Times New Roman"/>
                <w:b w:val="0"/>
                <w:bCs/>
                <w:i w:val="0"/>
                <w:color w:val="1A3C6E"/>
                <w:spacing w:val="6"/>
                <w:kern w:val="2"/>
                <w:sz w:val="21"/>
                <w:szCs w:val="21"/>
                <w:lang w:val="en-US" w:eastAsia="en-US" w:bidi="ar-SA"/>
              </w:rPr>
              <w:t xml:space="preserve">    </w:t>
            </w:r>
            <w:r>
              <w:rPr>
                <w:rFonts w:hint="default" w:ascii="Times New Roman" w:hAnsi="Times New Roman" w:eastAsia="微软雅黑" w:cs="Times New Roman"/>
                <w:b w:val="0"/>
                <w:i w:val="0"/>
                <w:color w:val="4A6A8A"/>
                <w:spacing w:val="5"/>
                <w:kern w:val="2"/>
                <w:sz w:val="17"/>
                <w:szCs w:val="17"/>
                <w:lang w:val="en-US" w:eastAsia="en-US" w:bidi="ar-SA"/>
              </w:rPr>
              <w:t>共 3 项</w:t>
            </w:r>
          </w:p>
        </w:tc>
      </w:tr>
      <w:tr w14:paraId="50DBC336">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5A1827DE">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TY-001</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626BE3B">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台式计算机</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E5023CB">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联想 ThinkCentre</w:t>
            </w:r>
            <w:r>
              <w:rPr>
                <w:rFonts w:hint="default" w:ascii="Times New Roman" w:hAnsi="Times New Roman" w:eastAsia="微软雅黑" w:cs="Times New Roman"/>
                <w:b w:val="0"/>
                <w:i w:val="0"/>
                <w:color w:val="1E2A3A"/>
                <w:spacing w:val="32"/>
                <w:kern w:val="2"/>
                <w:sz w:val="17"/>
                <w:szCs w:val="17"/>
                <w:lang w:val="en-US" w:eastAsia="en-US" w:bidi="ar-SA"/>
              </w:rPr>
              <w:t xml:space="preserve"> </w:t>
            </w:r>
            <w:r>
              <w:rPr>
                <w:rFonts w:hint="default" w:ascii="Times New Roman" w:hAnsi="Times New Roman" w:eastAsia="微软雅黑" w:cs="Times New Roman"/>
                <w:b w:val="0"/>
                <w:i w:val="0"/>
                <w:color w:val="1E2A3A"/>
                <w:spacing w:val="-1"/>
                <w:kern w:val="2"/>
                <w:sz w:val="17"/>
                <w:szCs w:val="17"/>
                <w:lang w:val="en-US" w:eastAsia="en-US" w:bidi="ar-SA"/>
              </w:rPr>
              <w:t>M720</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12170E4D">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5"/>
                <w:kern w:val="2"/>
                <w:sz w:val="17"/>
                <w:szCs w:val="17"/>
                <w:lang w:val="en-US" w:eastAsia="zh-CN"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C2A6B63">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1"/>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8593ED8">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2020-05-10</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6A868FD">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报废</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8E7C8B0">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性能淘汰</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5DC6B1E">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59DE1634">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6DF4A84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TY-002</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606CC0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打印机</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0577325">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3"/>
                <w:kern w:val="2"/>
                <w:sz w:val="17"/>
                <w:szCs w:val="17"/>
                <w:lang w:val="en-US" w:eastAsia="en-US" w:bidi="ar-SA"/>
              </w:rPr>
              <w:t>惠普</w:t>
            </w:r>
            <w:r>
              <w:rPr>
                <w:rFonts w:hint="default" w:ascii="Times New Roman" w:hAnsi="Times New Roman" w:eastAsia="微软雅黑" w:cs="Times New Roman"/>
                <w:b w:val="0"/>
                <w:i w:val="0"/>
                <w:color w:val="1E2A3A"/>
                <w:spacing w:val="31"/>
                <w:w w:val="101"/>
                <w:kern w:val="2"/>
                <w:sz w:val="17"/>
                <w:szCs w:val="17"/>
                <w:lang w:val="en-US" w:eastAsia="en-US" w:bidi="ar-SA"/>
              </w:rPr>
              <w:t xml:space="preserve"> </w:t>
            </w:r>
            <w:r>
              <w:rPr>
                <w:rFonts w:hint="default" w:ascii="Times New Roman" w:hAnsi="Times New Roman" w:eastAsia="微软雅黑" w:cs="Times New Roman"/>
                <w:b w:val="0"/>
                <w:i w:val="0"/>
                <w:color w:val="1E2A3A"/>
                <w:spacing w:val="-3"/>
                <w:kern w:val="2"/>
                <w:sz w:val="17"/>
                <w:szCs w:val="17"/>
                <w:lang w:val="en-US" w:eastAsia="en-US" w:bidi="ar-SA"/>
              </w:rPr>
              <w:t>LaserJet</w:t>
            </w:r>
            <w:r>
              <w:rPr>
                <w:rFonts w:hint="default" w:ascii="Times New Roman" w:hAnsi="Times New Roman" w:eastAsia="微软雅黑" w:cs="Times New Roman"/>
                <w:b w:val="0"/>
                <w:i w:val="0"/>
                <w:color w:val="1E2A3A"/>
                <w:spacing w:val="17"/>
                <w:kern w:val="2"/>
                <w:sz w:val="17"/>
                <w:szCs w:val="17"/>
                <w:lang w:val="en-US" w:eastAsia="en-US" w:bidi="ar-SA"/>
              </w:rPr>
              <w:t xml:space="preserve"> </w:t>
            </w:r>
            <w:r>
              <w:rPr>
                <w:rFonts w:hint="default" w:ascii="Times New Roman" w:hAnsi="Times New Roman" w:eastAsia="微软雅黑" w:cs="Times New Roman"/>
                <w:b w:val="0"/>
                <w:i w:val="0"/>
                <w:color w:val="1E2A3A"/>
                <w:spacing w:val="-3"/>
                <w:kern w:val="2"/>
                <w:sz w:val="17"/>
                <w:szCs w:val="17"/>
                <w:lang w:val="en-US" w:eastAsia="en-US" w:bidi="ar-SA"/>
              </w:rPr>
              <w:t>Pro</w:t>
            </w:r>
            <w:r>
              <w:rPr>
                <w:rFonts w:hint="default" w:ascii="Times New Roman" w:hAnsi="Times New Roman" w:eastAsia="微软雅黑" w:cs="Times New Roman"/>
                <w:b w:val="0"/>
                <w:i w:val="0"/>
                <w:color w:val="1E2A3A"/>
                <w:spacing w:val="17"/>
                <w:kern w:val="2"/>
                <w:sz w:val="17"/>
                <w:szCs w:val="17"/>
                <w:lang w:val="en-US" w:eastAsia="en-US" w:bidi="ar-SA"/>
              </w:rPr>
              <w:t xml:space="preserve"> </w:t>
            </w:r>
            <w:r>
              <w:rPr>
                <w:rFonts w:hint="default" w:ascii="Times New Roman" w:hAnsi="Times New Roman" w:eastAsia="微软雅黑" w:cs="Times New Roman"/>
                <w:b w:val="0"/>
                <w:i w:val="0"/>
                <w:color w:val="1E2A3A"/>
                <w:spacing w:val="-3"/>
                <w:kern w:val="2"/>
                <w:sz w:val="17"/>
                <w:szCs w:val="17"/>
                <w:lang w:val="en-US" w:eastAsia="en-US" w:bidi="ar-SA"/>
              </w:rPr>
              <w:t>MFP</w:t>
            </w:r>
            <w:r>
              <w:rPr>
                <w:rFonts w:hint="default" w:ascii="Times New Roman" w:hAnsi="Times New Roman" w:eastAsia="微软雅黑" w:cs="Times New Roman"/>
                <w:b w:val="0"/>
                <w:i w:val="0"/>
                <w:color w:val="1E2A3A"/>
                <w:spacing w:val="17"/>
                <w:kern w:val="2"/>
                <w:sz w:val="17"/>
                <w:szCs w:val="17"/>
                <w:lang w:val="en-US" w:eastAsia="en-US" w:bidi="ar-SA"/>
              </w:rPr>
              <w:t xml:space="preserve"> </w:t>
            </w:r>
            <w:r>
              <w:rPr>
                <w:rFonts w:hint="default" w:ascii="Times New Roman" w:hAnsi="Times New Roman" w:eastAsia="微软雅黑" w:cs="Times New Roman"/>
                <w:b w:val="0"/>
                <w:i w:val="0"/>
                <w:color w:val="1E2A3A"/>
                <w:spacing w:val="-3"/>
                <w:kern w:val="2"/>
                <w:sz w:val="17"/>
                <w:szCs w:val="17"/>
                <w:lang w:val="en-US" w:eastAsia="en-US" w:bidi="ar-SA"/>
              </w:rPr>
              <w:t>M227fd</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65AF883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6"/>
                <w:kern w:val="2"/>
                <w:sz w:val="17"/>
                <w:szCs w:val="17"/>
                <w:lang w:val="en-US" w:eastAsia="zh-CN"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82861E5">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1"/>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16F75F1">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2021-02-18</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839FE4A">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转让</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57EFBB3">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设备升级</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3181AA8">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45D9AB2F">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58410562">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position w:val="2"/>
                <w:sz w:val="17"/>
                <w:szCs w:val="17"/>
                <w:lang w:val="en-US" w:eastAsia="en-US" w:bidi="ar-SA"/>
              </w:rPr>
              <w:t>TY-003</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C544D7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空调</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B0D741B">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格力</w:t>
            </w:r>
            <w:r>
              <w:rPr>
                <w:rFonts w:hint="default" w:ascii="Times New Roman" w:hAnsi="Times New Roman" w:eastAsia="微软雅黑" w:cs="Times New Roman"/>
                <w:b w:val="0"/>
                <w:i w:val="0"/>
                <w:color w:val="1E2A3A"/>
                <w:spacing w:val="13"/>
                <w:kern w:val="2"/>
                <w:sz w:val="17"/>
                <w:szCs w:val="17"/>
                <w:lang w:val="en-US" w:eastAsia="en-US" w:bidi="ar-SA"/>
              </w:rPr>
              <w:t xml:space="preserve"> </w:t>
            </w:r>
            <w:r>
              <w:rPr>
                <w:rFonts w:hint="default" w:ascii="Times New Roman" w:hAnsi="Times New Roman" w:eastAsia="微软雅黑" w:cs="Times New Roman"/>
                <w:b w:val="0"/>
                <w:i w:val="0"/>
                <w:color w:val="1E2A3A"/>
                <w:spacing w:val="-1"/>
                <w:kern w:val="2"/>
                <w:sz w:val="17"/>
                <w:szCs w:val="17"/>
                <w:lang w:val="en-US" w:eastAsia="en-US" w:bidi="ar-SA"/>
              </w:rPr>
              <w:t>3匹 柜机</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0F30CB3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6"/>
                <w:kern w:val="2"/>
                <w:position w:val="2"/>
                <w:sz w:val="17"/>
                <w:szCs w:val="17"/>
                <w:lang w:val="en-US" w:eastAsia="zh-CN"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B3442F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6"/>
                <w:kern w:val="2"/>
                <w:positio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4FF4C82">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position w:val="2"/>
                <w:sz w:val="17"/>
                <w:szCs w:val="17"/>
                <w:lang w:val="en-US" w:eastAsia="en-US" w:bidi="ar-SA"/>
              </w:rPr>
              <w:t>2019-07-01</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08EC29A">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报废</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A550137">
            <w:pPr>
              <w:widowControl w:val="0"/>
              <w:adjustRightInd w:val="0"/>
              <w:snapToGrid w:val="0"/>
              <w:spacing w:line="240" w:lineRule="auto"/>
              <w:ind w:left="0" w:leftChars="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能耗超标</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95F43C9">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3DC93C69">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5898" w:type="dxa"/>
            <w:gridSpan w:val="3"/>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61697A10">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1A3C6E"/>
                <w:spacing w:val="6"/>
                <w:kern w:val="2"/>
                <w:sz w:val="15"/>
                <w:szCs w:val="15"/>
                <w:lang w:val="en-US" w:eastAsia="en-US" w:bidi="ar-SA"/>
              </w:rPr>
              <w:t>小计</w:t>
            </w:r>
          </w:p>
        </w:tc>
        <w:tc>
          <w:tcPr>
            <w:tcW w:w="936"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DC9B8AD">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zh-CN" w:bidi="ar-SA"/>
              </w:rPr>
            </w:pPr>
            <w:r>
              <w:rPr>
                <w:rFonts w:hint="default" w:ascii="Times New Roman" w:hAnsi="Times New Roman" w:eastAsia="微软雅黑" w:cs="Times New Roman"/>
                <w:b w:val="0"/>
                <w:bCs/>
                <w:i w:val="0"/>
                <w:color w:val="0F2B4A"/>
                <w:spacing w:val="-6"/>
                <w:kern w:val="2"/>
                <w:position w:val="2"/>
                <w:sz w:val="15"/>
                <w:szCs w:val="15"/>
                <w:lang w:val="en-US" w:eastAsia="zh-CN" w:bidi="ar-SA"/>
              </w:rPr>
              <w:t>3</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60A24E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0F2B4A"/>
                <w:spacing w:val="3"/>
                <w:kern w:val="2"/>
                <w:position w:val="2"/>
                <w:sz w:val="15"/>
                <w:szCs w:val="15"/>
                <w:lang w:val="en-US" w:eastAsia="zh-CN" w:bidi="ar-SA"/>
              </w:rPr>
              <w:t>0</w:t>
            </w:r>
            <w:r>
              <w:rPr>
                <w:rFonts w:hint="default" w:ascii="Times New Roman" w:hAnsi="Times New Roman" w:eastAsia="微软雅黑" w:cs="Times New Roman"/>
                <w:b w:val="0"/>
                <w:bCs/>
                <w:i w:val="0"/>
                <w:color w:val="0F2B4A"/>
                <w:spacing w:val="3"/>
                <w:kern w:val="2"/>
                <w:position w:val="2"/>
                <w:sz w:val="15"/>
                <w:szCs w:val="15"/>
                <w:lang w:val="en-US" w:eastAsia="en-US" w:bidi="ar-SA"/>
              </w:rPr>
              <w:t>00.00</w:t>
            </w:r>
          </w:p>
        </w:tc>
        <w:tc>
          <w:tcPr>
            <w:tcW w:w="4835" w:type="dxa"/>
            <w:gridSpan w:val="4"/>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2815E6F1">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309E3315">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3163" w:type="dxa"/>
            <w:gridSpan w:val="9"/>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008F1DD7">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auto"/>
                <w:spacing w:val="4"/>
                <w:kern w:val="2"/>
                <w:sz w:val="21"/>
                <w:szCs w:val="21"/>
                <w:lang w:val="en-US" w:eastAsia="zh-CN" w:bidi="ar-SA"/>
              </w:rPr>
              <w:t>●</w:t>
            </w:r>
            <w:r>
              <w:rPr>
                <w:rFonts w:hint="default" w:ascii="Times New Roman" w:hAnsi="Times New Roman" w:eastAsia="微软雅黑" w:cs="Times New Roman"/>
                <w:b w:val="0"/>
                <w:i w:val="0"/>
                <w:color w:val="auto"/>
                <w:spacing w:val="4"/>
                <w:kern w:val="2"/>
                <w:sz w:val="21"/>
                <w:szCs w:val="21"/>
                <w:lang w:val="en-US" w:eastAsia="en-US" w:bidi="ar-SA"/>
              </w:rPr>
              <w:t xml:space="preserve"> </w:t>
            </w:r>
            <w:r>
              <w:rPr>
                <w:rFonts w:hint="default" w:ascii="Times New Roman" w:hAnsi="Times New Roman" w:eastAsia="微软雅黑" w:cs="Times New Roman"/>
                <w:b w:val="0"/>
                <w:bCs/>
                <w:i w:val="0"/>
                <w:color w:val="1A3C6E"/>
                <w:spacing w:val="4"/>
                <w:kern w:val="2"/>
                <w:sz w:val="21"/>
                <w:szCs w:val="21"/>
                <w:lang w:val="en-US" w:eastAsia="en-US" w:bidi="ar-SA"/>
              </w:rPr>
              <w:t>专用设备</w:t>
            </w:r>
            <w:r>
              <w:rPr>
                <w:rFonts w:hint="default" w:ascii="Times New Roman" w:hAnsi="Times New Roman" w:eastAsia="微软雅黑" w:cs="Times New Roman"/>
                <w:b w:val="0"/>
                <w:bCs/>
                <w:i w:val="0"/>
                <w:color w:val="1A3C6E"/>
                <w:spacing w:val="7"/>
                <w:kern w:val="2"/>
                <w:sz w:val="21"/>
                <w:szCs w:val="21"/>
                <w:lang w:val="en-US" w:eastAsia="en-US" w:bidi="ar-SA"/>
              </w:rPr>
              <w:t xml:space="preserve">    </w:t>
            </w:r>
            <w:r>
              <w:rPr>
                <w:rFonts w:hint="default" w:ascii="Times New Roman" w:hAnsi="Times New Roman" w:eastAsia="微软雅黑" w:cs="Times New Roman"/>
                <w:b w:val="0"/>
                <w:i w:val="0"/>
                <w:color w:val="4A6A8A"/>
                <w:spacing w:val="4"/>
                <w:kern w:val="2"/>
                <w:sz w:val="17"/>
                <w:szCs w:val="17"/>
                <w:lang w:val="en-US" w:eastAsia="en-US" w:bidi="ar-SA"/>
              </w:rPr>
              <w:t>共</w:t>
            </w:r>
            <w:r>
              <w:rPr>
                <w:rFonts w:hint="default" w:ascii="Times New Roman" w:hAnsi="Times New Roman" w:eastAsia="微软雅黑" w:cs="Times New Roman"/>
                <w:b w:val="0"/>
                <w:i w:val="0"/>
                <w:color w:val="4A6A8A"/>
                <w:spacing w:val="14"/>
                <w:w w:val="101"/>
                <w:kern w:val="2"/>
                <w:sz w:val="17"/>
                <w:szCs w:val="17"/>
                <w:lang w:val="en-US" w:eastAsia="en-US" w:bidi="ar-SA"/>
              </w:rPr>
              <w:t xml:space="preserve"> </w:t>
            </w:r>
            <w:r>
              <w:rPr>
                <w:rFonts w:hint="default" w:ascii="Times New Roman" w:hAnsi="Times New Roman" w:eastAsia="微软雅黑" w:cs="Times New Roman"/>
                <w:b w:val="0"/>
                <w:i w:val="0"/>
                <w:color w:val="4A6A8A"/>
                <w:spacing w:val="4"/>
                <w:kern w:val="2"/>
                <w:sz w:val="17"/>
                <w:szCs w:val="17"/>
                <w:lang w:val="en-US" w:eastAsia="en-US" w:bidi="ar-SA"/>
              </w:rPr>
              <w:t>3 项</w:t>
            </w:r>
          </w:p>
        </w:tc>
      </w:tr>
      <w:tr w14:paraId="02A6BA3C">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234EF0EE">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ZY-001</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8FB384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全自动生化分析仪</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68E05B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2"/>
                <w:kern w:val="2"/>
                <w:sz w:val="17"/>
                <w:szCs w:val="17"/>
                <w:lang w:val="en-US" w:eastAsia="en-US" w:bidi="ar-SA"/>
              </w:rPr>
              <w:t>迈瑞</w:t>
            </w:r>
            <w:r>
              <w:rPr>
                <w:rFonts w:hint="default" w:ascii="Times New Roman" w:hAnsi="Times New Roman" w:eastAsia="微软雅黑" w:cs="Times New Roman"/>
                <w:b w:val="0"/>
                <w:i w:val="0"/>
                <w:color w:val="1E2A3A"/>
                <w:spacing w:val="21"/>
                <w:kern w:val="2"/>
                <w:sz w:val="17"/>
                <w:szCs w:val="17"/>
                <w:lang w:val="en-US" w:eastAsia="en-US" w:bidi="ar-SA"/>
              </w:rPr>
              <w:t xml:space="preserve"> </w:t>
            </w:r>
            <w:r>
              <w:rPr>
                <w:rFonts w:hint="default" w:ascii="Times New Roman" w:hAnsi="Times New Roman" w:eastAsia="微软雅黑" w:cs="Times New Roman"/>
                <w:b w:val="0"/>
                <w:i w:val="0"/>
                <w:color w:val="1E2A3A"/>
                <w:spacing w:val="-2"/>
                <w:kern w:val="2"/>
                <w:sz w:val="17"/>
                <w:szCs w:val="17"/>
                <w:lang w:val="en-US" w:eastAsia="en-US" w:bidi="ar-SA"/>
              </w:rPr>
              <w:t>BS-800</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4AE0894F">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AEC9503">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1"/>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77B3093">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2018-11-05</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DB8B21C">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转让</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6E5C860">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技术更新</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77BA8D9">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4C8FD4FE">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7E0FB077">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ZY-002</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CE9124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实验台</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522A852">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钢木结构，中央台 3.6m</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352D5D0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6"/>
                <w:kern w:val="2"/>
                <w:sz w:val="17"/>
                <w:szCs w:val="17"/>
                <w:lang w:val="en-US" w:eastAsia="zh-CN"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FA510F0">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2"/>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86DF03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2019-04-12</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BC3DFD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报废</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BDE016C">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损坏严重</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832A03E">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5EDCC36E">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5898" w:type="dxa"/>
            <w:gridSpan w:val="3"/>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12EE7D32">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1A3C6E"/>
                <w:spacing w:val="6"/>
                <w:kern w:val="2"/>
                <w:sz w:val="15"/>
                <w:szCs w:val="15"/>
                <w:lang w:val="en-US" w:eastAsia="en-US" w:bidi="ar-SA"/>
              </w:rPr>
              <w:t>小计</w:t>
            </w:r>
          </w:p>
        </w:tc>
        <w:tc>
          <w:tcPr>
            <w:tcW w:w="936"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F312297">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zh-CN" w:bidi="ar-SA"/>
              </w:rPr>
            </w:pPr>
            <w:r>
              <w:rPr>
                <w:rFonts w:hint="default" w:ascii="Times New Roman" w:hAnsi="Times New Roman" w:eastAsia="微软雅黑" w:cs="Times New Roman"/>
                <w:b w:val="0"/>
                <w:bCs/>
                <w:i w:val="0"/>
                <w:color w:val="0F2B4A"/>
                <w:spacing w:val="2"/>
                <w:kern w:val="2"/>
                <w:position w:val="2"/>
                <w:sz w:val="15"/>
                <w:szCs w:val="15"/>
                <w:lang w:val="en-US" w:eastAsia="zh-CN" w:bidi="ar-SA"/>
              </w:rPr>
              <w:t>3</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7D26285A">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0F2B4A"/>
                <w:spacing w:val="3"/>
                <w:kern w:val="2"/>
                <w:position w:val="2"/>
                <w:sz w:val="15"/>
                <w:szCs w:val="15"/>
                <w:lang w:val="en-US" w:eastAsia="zh-CN" w:bidi="ar-SA"/>
              </w:rPr>
              <w:t>0</w:t>
            </w:r>
            <w:r>
              <w:rPr>
                <w:rFonts w:hint="default" w:ascii="Times New Roman" w:hAnsi="Times New Roman" w:eastAsia="微软雅黑" w:cs="Times New Roman"/>
                <w:b w:val="0"/>
                <w:bCs/>
                <w:i w:val="0"/>
                <w:color w:val="0F2B4A"/>
                <w:spacing w:val="3"/>
                <w:kern w:val="2"/>
                <w:position w:val="2"/>
                <w:sz w:val="15"/>
                <w:szCs w:val="15"/>
                <w:lang w:val="en-US" w:eastAsia="en-US" w:bidi="ar-SA"/>
              </w:rPr>
              <w:t>00.00</w:t>
            </w:r>
          </w:p>
        </w:tc>
        <w:tc>
          <w:tcPr>
            <w:tcW w:w="4835" w:type="dxa"/>
            <w:gridSpan w:val="4"/>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7128E3B7">
            <w:pPr>
              <w:tabs>
                <w:tab w:val="left" w:pos="4620"/>
              </w:tabs>
              <w:adjustRightInd w:val="0"/>
              <w:snapToGrid w:val="0"/>
              <w:spacing w:line="240" w:lineRule="auto"/>
              <w:ind w:left="0" w:right="8" w:rightChars="0" w:firstLine="0" w:firstLineChars="0"/>
              <w:rPr>
                <w:rFonts w:hint="default" w:ascii="Times New Roman" w:hAnsi="Times New Roman" w:eastAsia="仿宋" w:cs="Times New Roman"/>
                <w:b w:val="0"/>
                <w:i w:val="0"/>
                <w:color w:val="000000"/>
                <w:spacing w:val="-6"/>
                <w:sz w:val="21"/>
                <w:szCs w:val="32"/>
              </w:rPr>
            </w:pPr>
          </w:p>
        </w:tc>
      </w:tr>
      <w:tr w14:paraId="52B2C3D9">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3163" w:type="dxa"/>
            <w:gridSpan w:val="9"/>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74CDA331">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auto"/>
                <w:spacing w:val="4"/>
                <w:kern w:val="2"/>
                <w:sz w:val="21"/>
                <w:szCs w:val="21"/>
                <w:lang w:val="en-US" w:eastAsia="zh-CN" w:bidi="ar-SA"/>
              </w:rPr>
              <w:t>●</w:t>
            </w:r>
            <w:r>
              <w:rPr>
                <w:rFonts w:hint="default" w:ascii="Times New Roman" w:hAnsi="Times New Roman" w:eastAsia="微软雅黑" w:cs="Times New Roman"/>
                <w:b w:val="0"/>
                <w:i w:val="0"/>
                <w:color w:val="auto"/>
                <w:spacing w:val="4"/>
                <w:kern w:val="2"/>
                <w:sz w:val="21"/>
                <w:szCs w:val="21"/>
                <w:lang w:val="en-US" w:eastAsia="en-US" w:bidi="ar-SA"/>
              </w:rPr>
              <w:t xml:space="preserve"> </w:t>
            </w:r>
            <w:r>
              <w:rPr>
                <w:rFonts w:hint="default" w:ascii="Times New Roman" w:hAnsi="Times New Roman" w:eastAsia="微软雅黑" w:cs="Times New Roman"/>
                <w:b w:val="0"/>
                <w:bCs/>
                <w:i w:val="0"/>
                <w:color w:val="1A3C6E"/>
                <w:spacing w:val="4"/>
                <w:kern w:val="2"/>
                <w:sz w:val="21"/>
                <w:szCs w:val="21"/>
                <w:lang w:val="en-US" w:eastAsia="en-US" w:bidi="ar-SA"/>
              </w:rPr>
              <w:t xml:space="preserve">家具、用具、装具    </w:t>
            </w:r>
            <w:r>
              <w:rPr>
                <w:rFonts w:hint="default" w:ascii="Times New Roman" w:hAnsi="Times New Roman" w:eastAsia="微软雅黑" w:cs="Times New Roman"/>
                <w:b w:val="0"/>
                <w:i w:val="0"/>
                <w:color w:val="4A6A8A"/>
                <w:spacing w:val="4"/>
                <w:kern w:val="2"/>
                <w:sz w:val="17"/>
                <w:szCs w:val="17"/>
                <w:lang w:val="en-US" w:eastAsia="en-US" w:bidi="ar-SA"/>
              </w:rPr>
              <w:t>共 4 项</w:t>
            </w:r>
          </w:p>
        </w:tc>
      </w:tr>
      <w:tr w14:paraId="62596C86">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00D25FC3">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JJ-001</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FD0D5D6">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办公桌椅</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BEF29F5">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实木皮面，1.6m</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4ECF92AF">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5"/>
                <w:kern w:val="2"/>
                <w:sz w:val="17"/>
                <w:szCs w:val="17"/>
                <w:lang w:val="en-US" w:eastAsia="zh-CN"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BF2E53E">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2"/>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1B89598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2019-09-10</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918F191">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报废</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5781EAF">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磨损严重</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861209F">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56DC2DFB">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737D93B1">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JJ-002</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E77397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文件柜</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B102F27">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钢制，五节柜</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06CF08A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6"/>
                <w:kern w:val="2"/>
                <w:sz w:val="17"/>
                <w:szCs w:val="17"/>
                <w:lang w:val="en-US" w:eastAsia="zh-CN"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BB779B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1"/>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0BC5CA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2020-01-15</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E570DEF">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转让</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CAF599F">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布局调整</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F7B367B">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3B4ADBCD">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360B83B5">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JJ-003</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29B2688D">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会议桌</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09092DD">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木质，4.5m×1.8m</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424F71E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141DE5F2">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3"/>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7D994AC">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2017-12-01</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F5D3C66">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报废</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38E1B69">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破损严重</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73F995E">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3B1BD625">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1228" w:type="dxa"/>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6D2CFA72">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JJ-004</w:t>
            </w:r>
          </w:p>
        </w:tc>
        <w:tc>
          <w:tcPr>
            <w:tcW w:w="185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9C02722">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沙发</w:t>
            </w:r>
          </w:p>
        </w:tc>
        <w:tc>
          <w:tcPr>
            <w:tcW w:w="2820"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38C1F867">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皮质三人座</w:t>
            </w:r>
          </w:p>
        </w:tc>
        <w:tc>
          <w:tcPr>
            <w:tcW w:w="936" w:type="dxa"/>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161FCCE5">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6"/>
                <w:kern w:val="2"/>
                <w:sz w:val="17"/>
                <w:szCs w:val="17"/>
                <w:lang w:val="en-US" w:eastAsia="zh-CN" w:bidi="ar-SA"/>
              </w:rPr>
              <w:t>1</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BCB1174">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zh-CN" w:bidi="ar-SA"/>
              </w:rPr>
            </w:pPr>
            <w:r>
              <w:rPr>
                <w:rFonts w:hint="default" w:ascii="Times New Roman" w:hAnsi="Times New Roman" w:eastAsia="微软雅黑" w:cs="Times New Roman"/>
                <w:b w:val="0"/>
                <w:i w:val="0"/>
                <w:color w:val="1E2A3A"/>
                <w:spacing w:val="-1"/>
                <w:kern w:val="2"/>
                <w:sz w:val="17"/>
                <w:szCs w:val="17"/>
                <w:lang w:val="en-US" w:eastAsia="zh-CN" w:bidi="ar-SA"/>
              </w:rPr>
              <w:t>0</w:t>
            </w:r>
          </w:p>
        </w:tc>
        <w:tc>
          <w:tcPr>
            <w:tcW w:w="1173"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130CFD08">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2018-06-20</w:t>
            </w:r>
          </w:p>
        </w:tc>
        <w:tc>
          <w:tcPr>
            <w:tcW w:w="1695"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05788B60">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6"/>
                <w:kern w:val="2"/>
                <w:sz w:val="17"/>
                <w:szCs w:val="17"/>
                <w:lang w:val="en-US" w:eastAsia="en-US" w:bidi="ar-SA"/>
              </w:rPr>
              <w:t>转让</w:t>
            </w:r>
          </w:p>
        </w:tc>
        <w:tc>
          <w:tcPr>
            <w:tcW w:w="1158"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40D62BA0">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7"/>
                <w:szCs w:val="17"/>
                <w:lang w:val="en-US" w:eastAsia="en-US" w:bidi="ar-SA"/>
              </w:rPr>
            </w:pPr>
            <w:r>
              <w:rPr>
                <w:rFonts w:hint="default" w:ascii="Times New Roman" w:hAnsi="Times New Roman" w:eastAsia="微软雅黑" w:cs="Times New Roman"/>
                <w:b w:val="0"/>
                <w:i w:val="0"/>
                <w:color w:val="1E2A3A"/>
                <w:spacing w:val="1"/>
                <w:kern w:val="2"/>
                <w:sz w:val="17"/>
                <w:szCs w:val="17"/>
                <w:lang w:val="en-US" w:eastAsia="en-US" w:bidi="ar-SA"/>
              </w:rPr>
              <w:t>办公环境改造</w:t>
            </w:r>
          </w:p>
        </w:tc>
        <w:tc>
          <w:tcPr>
            <w:tcW w:w="809"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6DB4371D">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r w14:paraId="3696BBBE">
        <w:tblPrEx>
          <w:tblBorders>
            <w:top w:val="single" w:color="D0D7E2" w:sz="4" w:space="0"/>
            <w:left w:val="single" w:color="D0D7E2" w:sz="4" w:space="0"/>
            <w:bottom w:val="single" w:color="D0D7E2" w:sz="4" w:space="0"/>
            <w:right w:val="single" w:color="D0D7E2" w:sz="4" w:space="0"/>
            <w:insideH w:val="single" w:color="D0D7E2" w:sz="4" w:space="0"/>
            <w:insideV w:val="single" w:color="D0D7E2" w:sz="4" w:space="0"/>
          </w:tblBorders>
          <w:tblCellMar>
            <w:top w:w="0" w:type="dxa"/>
            <w:left w:w="0" w:type="dxa"/>
            <w:bottom w:w="0" w:type="dxa"/>
            <w:right w:w="0" w:type="dxa"/>
          </w:tblCellMar>
        </w:tblPrEx>
        <w:trPr>
          <w:trHeight w:val="0" w:hRule="atLeast"/>
          <w:jc w:val="center"/>
        </w:trPr>
        <w:tc>
          <w:tcPr>
            <w:tcW w:w="5898" w:type="dxa"/>
            <w:gridSpan w:val="3"/>
            <w:tcBorders>
              <w:top w:val="single" w:color="B8CCE4" w:sz="6" w:space="0"/>
              <w:left w:val="single" w:color="4F81BD" w:sz="6" w:space="0"/>
              <w:bottom w:val="single" w:color="B8CCE4" w:sz="6" w:space="0"/>
              <w:right w:val="single" w:color="B8CCE4" w:sz="6" w:space="0"/>
            </w:tcBorders>
            <w:shd w:val="clear" w:color="auto" w:fill="FFFFFF"/>
            <w:noWrap w:val="0"/>
            <w:tcMar>
              <w:left w:w="108" w:type="dxa"/>
              <w:right w:w="108" w:type="dxa"/>
            </w:tcMar>
            <w:vAlign w:val="top"/>
          </w:tcPr>
          <w:p w14:paraId="2EA82B62">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en-US" w:bidi="ar-SA"/>
              </w:rPr>
            </w:pPr>
            <w:r>
              <w:rPr>
                <w:rFonts w:hint="default" w:ascii="Times New Roman" w:hAnsi="Times New Roman" w:eastAsia="微软雅黑" w:cs="Times New Roman"/>
                <w:b w:val="0"/>
                <w:bCs/>
                <w:i w:val="0"/>
                <w:color w:val="1A3C6E"/>
                <w:spacing w:val="6"/>
                <w:kern w:val="2"/>
                <w:sz w:val="15"/>
                <w:szCs w:val="15"/>
                <w:lang w:val="en-US" w:eastAsia="en-US" w:bidi="ar-SA"/>
              </w:rPr>
              <w:t>小计</w:t>
            </w:r>
          </w:p>
        </w:tc>
        <w:tc>
          <w:tcPr>
            <w:tcW w:w="936"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F932503">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zh-CN" w:bidi="ar-SA"/>
              </w:rPr>
            </w:pPr>
            <w:r>
              <w:rPr>
                <w:rFonts w:hint="default" w:ascii="Times New Roman" w:hAnsi="Times New Roman" w:eastAsia="微软雅黑" w:cs="Times New Roman"/>
                <w:b w:val="0"/>
                <w:bCs/>
                <w:i w:val="0"/>
                <w:color w:val="0F2B4A"/>
                <w:spacing w:val="-6"/>
                <w:kern w:val="2"/>
                <w:position w:val="3"/>
                <w:sz w:val="15"/>
                <w:szCs w:val="15"/>
                <w:lang w:val="en-US" w:eastAsia="zh-CN" w:bidi="ar-SA"/>
              </w:rPr>
              <w:t>4</w:t>
            </w:r>
          </w:p>
        </w:tc>
        <w:tc>
          <w:tcPr>
            <w:tcW w:w="1494" w:type="dxa"/>
            <w:tcBorders>
              <w:top w:val="single" w:color="B8CCE4" w:sz="6" w:space="0"/>
              <w:left w:val="single" w:color="B8CCE4" w:sz="6" w:space="0"/>
              <w:bottom w:val="single" w:color="B8CCE4" w:sz="6" w:space="0"/>
              <w:right w:val="single" w:color="B8CCE4" w:sz="6" w:space="0"/>
            </w:tcBorders>
            <w:shd w:val="clear" w:color="auto" w:fill="FFFFFF"/>
            <w:noWrap w:val="0"/>
            <w:tcMar>
              <w:left w:w="108" w:type="dxa"/>
              <w:right w:w="108" w:type="dxa"/>
            </w:tcMar>
            <w:vAlign w:val="top"/>
          </w:tcPr>
          <w:p w14:paraId="59F5B9D3">
            <w:pPr>
              <w:widowControl w:val="0"/>
              <w:adjustRightInd w:val="0"/>
              <w:snapToGrid w:val="0"/>
              <w:spacing w:line="240" w:lineRule="auto"/>
              <w:ind w:left="0" w:firstLine="0" w:firstLineChars="0"/>
              <w:jc w:val="both"/>
              <w:rPr>
                <w:rFonts w:hint="default" w:ascii="Times New Roman" w:hAnsi="Times New Roman" w:eastAsia="微软雅黑" w:cs="Times New Roman"/>
                <w:b w:val="0"/>
                <w:i w:val="0"/>
                <w:color w:val="auto"/>
                <w:spacing w:val="-6"/>
                <w:kern w:val="2"/>
                <w:sz w:val="15"/>
                <w:szCs w:val="15"/>
                <w:lang w:val="en-US" w:eastAsia="zh-CN" w:bidi="ar-SA"/>
              </w:rPr>
            </w:pPr>
            <w:r>
              <w:rPr>
                <w:rFonts w:hint="default" w:ascii="Times New Roman" w:hAnsi="Times New Roman" w:eastAsia="微软雅黑" w:cs="Times New Roman"/>
                <w:b w:val="0"/>
                <w:bCs/>
                <w:i w:val="0"/>
                <w:color w:val="0F2B4A"/>
                <w:spacing w:val="3"/>
                <w:kern w:val="2"/>
                <w:position w:val="3"/>
                <w:sz w:val="15"/>
                <w:szCs w:val="15"/>
                <w:lang w:val="en-US" w:eastAsia="zh-CN" w:bidi="ar-SA"/>
              </w:rPr>
              <w:t>0000</w:t>
            </w:r>
          </w:p>
        </w:tc>
        <w:tc>
          <w:tcPr>
            <w:tcW w:w="4835" w:type="dxa"/>
            <w:gridSpan w:val="4"/>
            <w:tcBorders>
              <w:top w:val="single" w:color="B8CCE4" w:sz="6" w:space="0"/>
              <w:left w:val="single" w:color="B8CCE4" w:sz="6" w:space="0"/>
              <w:bottom w:val="single" w:color="B8CCE4" w:sz="6" w:space="0"/>
              <w:right w:val="single" w:color="4F81BD" w:sz="6" w:space="0"/>
            </w:tcBorders>
            <w:shd w:val="clear" w:color="auto" w:fill="FFFFFF"/>
            <w:noWrap w:val="0"/>
            <w:tcMar>
              <w:left w:w="108" w:type="dxa"/>
              <w:right w:w="108" w:type="dxa"/>
            </w:tcMar>
            <w:vAlign w:val="top"/>
          </w:tcPr>
          <w:p w14:paraId="24221B2A">
            <w:pPr>
              <w:adjustRightInd w:val="0"/>
              <w:snapToGrid w:val="0"/>
              <w:spacing w:line="240" w:lineRule="auto"/>
              <w:ind w:left="0" w:firstLine="0" w:firstLineChars="0"/>
              <w:rPr>
                <w:rFonts w:hint="default" w:ascii="Times New Roman" w:hAnsi="Times New Roman" w:eastAsia="仿宋" w:cs="Times New Roman"/>
                <w:b w:val="0"/>
                <w:i w:val="0"/>
                <w:color w:val="000000"/>
                <w:spacing w:val="-6"/>
                <w:sz w:val="21"/>
                <w:szCs w:val="32"/>
              </w:rPr>
            </w:pPr>
          </w:p>
        </w:tc>
      </w:tr>
    </w:tbl>
    <w:p w14:paraId="6B4C7FED">
      <w:pPr>
        <w:bidi w:val="0"/>
        <w:rPr>
          <w:rFonts w:hint="default" w:ascii="Times New Roman" w:hAnsi="Times New Roman" w:cs="Times New Roman"/>
          <w:b/>
          <w:bCs/>
        </w:rPr>
        <w:sectPr>
          <w:headerReference r:id="rId10" w:type="default"/>
          <w:footerReference r:id="rId12" w:type="default"/>
          <w:headerReference r:id="rId11" w:type="even"/>
          <w:footerReference r:id="rId13" w:type="even"/>
          <w:pgSz w:w="16848" w:h="11916" w:orient="landscape"/>
          <w:pgMar w:top="1587" w:right="2098" w:bottom="1474" w:left="1984" w:header="851" w:footer="1417" w:gutter="0"/>
          <w:pgBorders>
            <w:top w:val="none" w:sz="0" w:space="0"/>
            <w:left w:val="none" w:sz="0" w:space="0"/>
            <w:bottom w:val="none" w:sz="0" w:space="0"/>
            <w:right w:val="none" w:sz="0" w:space="0"/>
          </w:pgBorders>
          <w:pgNumType w:fmt="decimal"/>
          <w:cols w:space="720" w:num="1"/>
        </w:sectPr>
      </w:pPr>
      <w:r>
        <w:rPr>
          <w:rFonts w:hint="default" w:ascii="Times New Roman" w:hAnsi="Times New Roman" w:eastAsia="仿宋_GB2312" w:cs="Times New Roman"/>
          <w:i w:val="0"/>
          <w:color w:val="auto"/>
          <w:spacing w:val="-6"/>
          <w:kern w:val="2"/>
          <w:sz w:val="32"/>
          <w:szCs w:val="32"/>
          <w:lang w:val="en-US" w:eastAsia="zh-CN" w:bidi="ar-SA"/>
        </w:rPr>
        <w:t>审核人：＿＿＿＿＿＿＿＿＿＿＿＿＿ 填制人：＿＿＿＿＿＿＿＿＿＿＿＿＿</w:t>
      </w:r>
    </w:p>
    <w:p w14:paraId="351DEB61">
      <w:pPr>
        <w:widowControl/>
        <w:overflowPunct w:val="0"/>
        <w:topLinePunct/>
        <w:spacing w:line="560" w:lineRule="exact"/>
        <w:jc w:val="left"/>
        <w:outlineLvl w:val="0"/>
        <w:rPr>
          <w:rFonts w:hint="default" w:ascii="Times New Roman" w:hAnsi="Times New Roman" w:eastAsia="黑体" w:cs="Times New Roman"/>
          <w:sz w:val="32"/>
          <w:szCs w:val="32"/>
        </w:rPr>
      </w:pPr>
      <mc:AlternateContent>
        <mc:Choice Requires="wpsCustomData">
          <wpsCustomData:docfieldStart id="8" docfieldname="附件_5" hidden="0" print="1" readonly="0" index="5"/>
        </mc:Choice>
      </mc:AlternateContent>
      <w:r>
        <w:rPr>
          <w:rFonts w:hint="default" w:ascii="Times New Roman" w:hAnsi="Times New Roman" w:eastAsia="黑体" w:cs="Times New Roman"/>
          <w:sz w:val="32"/>
          <w:szCs w:val="32"/>
        </w:rPr>
        <w:t>附件5</w:t>
      </w:r>
      <mc:AlternateContent>
        <mc:Choice Requires="wpsCustomData">
          <wpsCustomData:docfieldEnd id="8"/>
        </mc:Choice>
      </mc:AlternateContent>
    </w:p>
    <w:p w14:paraId="233DF101">
      <w:pPr>
        <w:widowControl w:val="0"/>
        <w:bidi w:val="0"/>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p>
    <w:p w14:paraId="43D955EC">
      <w:pPr>
        <w:widowControl/>
        <w:spacing w:line="720" w:lineRule="exact"/>
        <w:jc w:val="center"/>
        <w:outlineLvl w:val="9"/>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资产处置公示（样稿）</w:t>
      </w:r>
    </w:p>
    <w:p w14:paraId="0CBA8990">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spacing w:before="0" w:beforeAutospacing="0" w:after="0" w:afterAutospacing="0" w:line="360" w:lineRule="auto"/>
        <w:ind w:right="0" w:rightChars="0" w:firstLine="880" w:firstLineChars="200"/>
        <w:jc w:val="center"/>
        <w:rPr>
          <w:rFonts w:hint="default" w:ascii="Times New Roman" w:hAnsi="Times New Roman" w:eastAsia="微软雅黑" w:cs="Times New Roman"/>
          <w:b/>
          <w:bCs/>
          <w:i w:val="0"/>
          <w:iCs w:val="0"/>
          <w:caps w:val="0"/>
          <w:color w:val="auto"/>
          <w:spacing w:val="0"/>
          <w:kern w:val="2"/>
          <w:sz w:val="44"/>
          <w:szCs w:val="44"/>
          <w:lang w:val="en-US" w:eastAsia="zh-CN" w:bidi="ar-SA"/>
        </w:rPr>
      </w:pPr>
    </w:p>
    <w:p w14:paraId="19F51491">
      <w:pPr>
        <w:widowControl/>
        <w:spacing w:line="720" w:lineRule="exact"/>
        <w:jc w:val="center"/>
        <w:outlineLvl w:val="9"/>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公            示</w:t>
      </w:r>
    </w:p>
    <w:p w14:paraId="4251E2A0">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spacing w:before="0" w:beforeAutospacing="0" w:after="0" w:afterAutospacing="0" w:line="360" w:lineRule="auto"/>
        <w:ind w:right="0" w:rightChars="0" w:firstLine="880" w:firstLineChars="200"/>
        <w:jc w:val="center"/>
        <w:rPr>
          <w:rFonts w:hint="default" w:ascii="Times New Roman" w:hAnsi="Times New Roman" w:eastAsia="微软雅黑" w:cs="Times New Roman"/>
          <w:b/>
          <w:bCs/>
          <w:i w:val="0"/>
          <w:iCs w:val="0"/>
          <w:caps w:val="0"/>
          <w:color w:val="auto"/>
          <w:spacing w:val="0"/>
          <w:kern w:val="2"/>
          <w:sz w:val="44"/>
          <w:szCs w:val="44"/>
          <w:lang w:val="en-US" w:eastAsia="zh-CN" w:bidi="ar-SA"/>
        </w:rPr>
      </w:pPr>
    </w:p>
    <w:p w14:paraId="4202CAC9">
      <w:pPr>
        <w:widowControl/>
        <w:pBdr>
          <w:top w:val="none" w:color="auto" w:sz="0" w:space="0"/>
          <w:left w:val="none" w:color="auto" w:sz="0" w:space="0"/>
          <w:bottom w:val="none" w:color="auto" w:sz="0" w:space="0"/>
          <w:right w:val="none" w:color="auto" w:sz="0" w:space="0"/>
        </w:pBdr>
        <w:adjustRightInd w:val="0"/>
        <w:snapToGrid w:val="0"/>
        <w:spacing w:line="560" w:lineRule="exact"/>
        <w:ind w:firstLine="616" w:firstLineChars="200"/>
        <w:jc w:val="both"/>
        <w:rPr>
          <w:rFonts w:hint="default" w:ascii="Times New Roman" w:hAnsi="Times New Roman" w:eastAsia="仿宋_GB2312" w:cs="Times New Roman"/>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根据《中央行政事业单位国有资产处置管理办法》《江苏省行政事业性国有资产管理办法》《灌云县行政事业性国有资产处置管理办法》等相关规定，我单位拟对以下资产进行处置：＿＿＿＿＿＿＿＿＿＿＿＿＿＿＿＿（资产名称、数量、账面价值等），处置方式为（无偿划转、对外捐赠、转让、置换、报废、损失核销）中的：＿＿＿＿＿＿＿＿。本次资产处置将遵循公开、公平、公正的原则，按规定权限履行审批手续后实施。根据《灌云县行政事业性国有资产处置管理办法》规定，现予以公示。如有异议，请于5个工作日内向本单位资产管理部门反映。</w:t>
      </w:r>
    </w:p>
    <w:p w14:paraId="17ECF20D">
      <w:pPr>
        <w:widowControl/>
        <w:pBdr>
          <w:top w:val="none" w:color="auto" w:sz="0" w:space="0"/>
          <w:left w:val="none" w:color="auto" w:sz="0" w:space="0"/>
          <w:bottom w:val="none" w:color="auto" w:sz="0" w:space="0"/>
          <w:right w:val="none" w:color="auto" w:sz="0" w:space="0"/>
        </w:pBdr>
        <w:adjustRightInd w:val="0"/>
        <w:snapToGrid w:val="0"/>
        <w:spacing w:line="560" w:lineRule="exact"/>
        <w:ind w:firstLine="616" w:firstLineChars="200"/>
        <w:jc w:val="both"/>
        <w:rPr>
          <w:rFonts w:hint="default" w:ascii="Times New Roman" w:hAnsi="Times New Roman" w:eastAsia="仿宋_GB2312" w:cs="Times New Roman"/>
          <w:i w:val="0"/>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联系人：＿＿＿＿＿＿＿＿ 联系电话：＿＿＿＿＿＿＿＿</w:t>
      </w:r>
    </w:p>
    <w:p w14:paraId="2893051A">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spacing w:before="0" w:beforeAutospacing="0" w:after="0" w:afterAutospacing="0" w:line="360" w:lineRule="auto"/>
        <w:ind w:left="0" w:leftChars="0" w:right="0" w:rightChars="0" w:firstLine="640" w:firstLineChars="200"/>
        <w:jc w:val="left"/>
        <w:rPr>
          <w:rFonts w:hint="default" w:ascii="Times New Roman" w:hAnsi="Times New Roman" w:eastAsia="方正仿宋_GB2312" w:cs="Times New Roman"/>
          <w:i w:val="0"/>
          <w:iCs w:val="0"/>
          <w:caps w:val="0"/>
          <w:color w:val="auto"/>
          <w:spacing w:val="0"/>
          <w:kern w:val="2"/>
          <w:sz w:val="32"/>
          <w:szCs w:val="32"/>
          <w:lang w:val="en-US" w:eastAsia="zh-CN" w:bidi="ar-SA"/>
        </w:rPr>
      </w:pPr>
    </w:p>
    <w:p w14:paraId="00E291A7">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spacing w:before="0" w:beforeAutospacing="0" w:after="0" w:afterAutospacing="0" w:line="360" w:lineRule="auto"/>
        <w:ind w:left="0" w:leftChars="0" w:right="0" w:rightChars="0" w:firstLine="640" w:firstLineChars="200"/>
        <w:jc w:val="center"/>
        <w:rPr>
          <w:rFonts w:hint="default" w:ascii="Times New Roman" w:hAnsi="Times New Roman" w:eastAsia="仿宋_GB2312" w:cs="Times New Roman"/>
          <w:i w:val="0"/>
          <w:iCs w:val="0"/>
          <w:caps w:val="0"/>
          <w:color w:val="auto"/>
          <w:spacing w:val="0"/>
          <w:kern w:val="2"/>
          <w:sz w:val="32"/>
          <w:szCs w:val="32"/>
          <w:lang w:val="en-US" w:eastAsia="zh-CN" w:bidi="ar-SA"/>
        </w:rPr>
      </w:pPr>
      <w:r>
        <w:rPr>
          <w:rFonts w:hint="default" w:ascii="Times New Roman" w:hAnsi="Times New Roman" w:eastAsia="仿宋_GB2312" w:cs="Times New Roman"/>
          <w:i w:val="0"/>
          <w:iCs w:val="0"/>
          <w:caps w:val="0"/>
          <w:color w:val="auto"/>
          <w:spacing w:val="0"/>
          <w:kern w:val="2"/>
          <w:sz w:val="32"/>
          <w:szCs w:val="32"/>
          <w:lang w:val="en-US" w:eastAsia="zh-CN" w:bidi="ar-SA"/>
        </w:rPr>
        <w:t xml:space="preserve">                          （单位名称）</w:t>
      </w:r>
    </w:p>
    <w:p w14:paraId="11F12084">
      <w:pPr>
        <w:widowControl/>
        <w:pBdr>
          <w:top w:val="none" w:color="auto" w:sz="0" w:space="0"/>
          <w:left w:val="none" w:color="auto" w:sz="0" w:space="0"/>
          <w:bottom w:val="none" w:color="auto" w:sz="0" w:space="0"/>
          <w:right w:val="none" w:color="auto" w:sz="0" w:space="0"/>
        </w:pBdr>
        <w:adjustRightInd w:val="0"/>
        <w:snapToGrid w:val="0"/>
        <w:spacing w:line="560" w:lineRule="exact"/>
        <w:ind w:firstLine="5852" w:firstLineChars="1900"/>
        <w:jc w:val="both"/>
        <w:rPr>
          <w:rFonts w:hint="default" w:ascii="Times New Roman" w:hAnsi="Times New Roman" w:eastAsia="仿宋_GB2312" w:cs="Times New Roman"/>
          <w:i w:val="0"/>
          <w:color w:val="auto"/>
          <w:spacing w:val="-6"/>
          <w:kern w:val="2"/>
          <w:sz w:val="32"/>
          <w:szCs w:val="32"/>
          <w:lang w:val="en-US" w:eastAsia="zh-CN" w:bidi="ar-SA"/>
        </w:rPr>
      </w:pPr>
      <w:r>
        <w:rPr>
          <w:rFonts w:hint="default" w:ascii="Times New Roman" w:hAnsi="Times New Roman" w:eastAsia="仿宋_GB2312" w:cs="Times New Roman"/>
          <w:i w:val="0"/>
          <w:color w:val="auto"/>
          <w:spacing w:val="-6"/>
          <w:kern w:val="2"/>
          <w:sz w:val="32"/>
          <w:szCs w:val="32"/>
          <w:lang w:val="en-US" w:eastAsia="zh-CN" w:bidi="ar-SA"/>
        </w:rPr>
        <w:t>年    月    日</w:t>
      </w:r>
    </w:p>
    <w:p w14:paraId="10DA823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sectPr>
      <w:headerReference r:id="rId14" w:type="default"/>
      <w:footerReference r:id="rId1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5BEAF8D-A03D-4009-A300-6572696103E7}"/>
  </w:font>
  <w:font w:name="黑体">
    <w:panose1 w:val="02010609060101010101"/>
    <w:charset w:val="86"/>
    <w:family w:val="auto"/>
    <w:pitch w:val="default"/>
    <w:sig w:usb0="800002BF" w:usb1="38CF7CFA" w:usb2="00000016" w:usb3="00000000" w:csb0="00040001" w:csb1="00000000"/>
    <w:embedRegular r:id="rId2" w:fontKey="{3526BAB1-7209-448E-AC20-E2D3E3562D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C18EF848-0FC0-4866-A5AE-18C7BF528CD4}"/>
  </w:font>
  <w:font w:name="楷体">
    <w:panose1 w:val="02010609060101010101"/>
    <w:charset w:val="86"/>
    <w:family w:val="auto"/>
    <w:pitch w:val="default"/>
    <w:sig w:usb0="800002BF" w:usb1="38CF7CFA" w:usb2="00000016" w:usb3="00000000" w:csb0="00040001" w:csb1="00000000"/>
    <w:embedRegular r:id="rId4" w:fontKey="{DCDD0325-F695-43E2-9864-BBF172D306A1}"/>
  </w:font>
  <w:font w:name="仿宋_GB2312">
    <w:panose1 w:val="02010609030101010101"/>
    <w:charset w:val="86"/>
    <w:family w:val="auto"/>
    <w:pitch w:val="default"/>
    <w:sig w:usb0="00000001" w:usb1="080E0000" w:usb2="00000000" w:usb3="00000000" w:csb0="00040000" w:csb1="00000000"/>
    <w:embedRegular r:id="rId5" w:fontKey="{07C38A03-EF8C-4905-B471-A21E00803A59}"/>
  </w:font>
  <w:font w:name="仿宋">
    <w:panose1 w:val="02010609060101010101"/>
    <w:charset w:val="86"/>
    <w:family w:val="modern"/>
    <w:pitch w:val="default"/>
    <w:sig w:usb0="800002BF" w:usb1="38CF7CFA" w:usb2="00000016" w:usb3="00000000" w:csb0="00040001" w:csb1="00000000"/>
    <w:embedRegular r:id="rId6" w:fontKey="{D3C7E8EA-EA28-4FFB-8686-BE26BDFF6B8A}"/>
  </w:font>
  <w:font w:name="方正小标宋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embedRegular r:id="rId7" w:fontKey="{5F93A127-47B5-4CEB-9B33-A06D0C5393C5}"/>
  </w:font>
  <w:font w:name="方正楷体_GB2312">
    <w:panose1 w:val="02000000000000000000"/>
    <w:charset w:val="86"/>
    <w:family w:val="auto"/>
    <w:pitch w:val="default"/>
    <w:sig w:usb0="A00002BF" w:usb1="184F6CFA" w:usb2="00000012" w:usb3="00000000" w:csb0="00040001" w:csb1="00000000"/>
    <w:embedRegular r:id="rId8" w:fontKey="{22CB26D1-702F-45E9-A26C-34C709F1B7C4}"/>
  </w:font>
  <w:font w:name="Segoe UI">
    <w:panose1 w:val="020B0502040204020203"/>
    <w:charset w:val="00"/>
    <w:family w:val="auto"/>
    <w:pitch w:val="default"/>
    <w:sig w:usb0="E4002EFF" w:usb1="C000E47F" w:usb2="00000009" w:usb3="00000000" w:csb0="200001FF" w:csb1="00000000"/>
    <w:embedRegular r:id="rId9" w:fontKey="{9C4101CE-A05D-4CD5-8C41-6DA5E6605C86}"/>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493A2">
    <w:pPr>
      <w:spacing w:line="174" w:lineRule="auto"/>
      <w:ind w:left="7318"/>
      <w:rPr>
        <w:rFonts w:ascii="宋体" w:hAnsi="宋体" w:eastAsia="宋体" w:cs="宋体"/>
        <w:sz w:val="28"/>
        <w:szCs w:val="28"/>
      </w:rPr>
    </w:pPr>
    <w:r>
      <w:rPr>
        <w:rFonts w:ascii="Times New Roman" w:hAnsi="Times New Roman" w:eastAsia="宋体" w:cs="Times New Roman"/>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B73CF9">
                          <w:pPr>
                            <w:widowControl w:val="0"/>
                            <w:snapToGrid w:val="0"/>
                            <w:jc w:val="left"/>
                            <w:rPr>
                              <w:rFonts w:ascii="宋体" w:hAnsi="宋体" w:eastAsia="宋体" w:cs="Times New Roman"/>
                              <w:kern w:val="2"/>
                              <w:sz w:val="28"/>
                              <w:szCs w:val="18"/>
                              <w:lang w:val="en-US" w:eastAsia="zh-CN" w:bidi="ar-SA"/>
                            </w:rPr>
                          </w:pPr>
                          <w:r>
                            <w:rPr>
                              <w:rFonts w:ascii="宋体" w:hAnsi="宋体" w:eastAsia="宋体" w:cs="Times New Roman"/>
                              <w:kern w:val="2"/>
                              <w:sz w:val="28"/>
                              <w:szCs w:val="18"/>
                              <w:lang w:val="en-US" w:eastAsia="zh-CN" w:bidi="ar-SA"/>
                            </w:rPr>
                            <w:t>—</w:t>
                          </w:r>
                          <w:r>
                            <w:rPr>
                              <w:rFonts w:ascii="宋体" w:hAnsi="宋体" w:eastAsia="宋体" w:cs="Times New Roman"/>
                              <w:kern w:val="2"/>
                              <w:sz w:val="24"/>
                              <w:szCs w:val="18"/>
                              <w:lang w:val="en-US" w:eastAsia="zh-CN" w:bidi="ar-SA"/>
                            </w:rPr>
                            <w:t xml:space="preserve"> </w:t>
                          </w:r>
                          <w:r>
                            <w:rPr>
                              <w:rFonts w:ascii="宋体" w:hAnsi="宋体" w:eastAsia="宋体" w:cs="Times New Roman"/>
                              <w:kern w:val="2"/>
                              <w:sz w:val="28"/>
                              <w:szCs w:val="18"/>
                              <w:lang w:val="en-US" w:eastAsia="zh-CN" w:bidi="ar-SA"/>
                            </w:rPr>
                            <w:fldChar w:fldCharType="begin"/>
                          </w:r>
                          <w:r>
                            <w:rPr>
                              <w:rFonts w:ascii="宋体" w:hAnsi="宋体" w:eastAsia="宋体" w:cs="Times New Roman"/>
                              <w:kern w:val="2"/>
                              <w:sz w:val="28"/>
                              <w:szCs w:val="18"/>
                              <w:lang w:val="en-US" w:eastAsia="zh-CN" w:bidi="ar-SA"/>
                            </w:rPr>
                            <w:instrText xml:space="preserve"> PAGE  \* MERGEFORMAT </w:instrText>
                          </w:r>
                          <w:r>
                            <w:rPr>
                              <w:rFonts w:ascii="宋体" w:hAnsi="宋体" w:eastAsia="宋体" w:cs="Times New Roman"/>
                              <w:kern w:val="2"/>
                              <w:sz w:val="28"/>
                              <w:szCs w:val="18"/>
                              <w:lang w:val="en-US" w:eastAsia="zh-CN" w:bidi="ar-SA"/>
                            </w:rPr>
                            <w:fldChar w:fldCharType="separate"/>
                          </w:r>
                          <w:r>
                            <w:rPr>
                              <w:rFonts w:ascii="宋体" w:hAnsi="宋体" w:eastAsia="宋体" w:cs="Times New Roman"/>
                              <w:kern w:val="2"/>
                              <w:sz w:val="28"/>
                              <w:szCs w:val="18"/>
                              <w:lang w:val="en-US" w:eastAsia="zh-CN" w:bidi="ar-SA"/>
                            </w:rPr>
                            <w:t>1</w:t>
                          </w:r>
                          <w:r>
                            <w:rPr>
                              <w:rFonts w:ascii="宋体" w:hAnsi="宋体" w:eastAsia="宋体" w:cs="Times New Roman"/>
                              <w:kern w:val="2"/>
                              <w:sz w:val="28"/>
                              <w:szCs w:val="18"/>
                              <w:lang w:val="en-US" w:eastAsia="zh-CN" w:bidi="ar-SA"/>
                            </w:rPr>
                            <w:fldChar w:fldCharType="end"/>
                          </w:r>
                          <w:r>
                            <w:rPr>
                              <w:rFonts w:ascii="宋体" w:hAnsi="宋体" w:eastAsia="宋体" w:cs="Times New Roman"/>
                              <w:kern w:val="2"/>
                              <w:sz w:val="24"/>
                              <w:szCs w:val="18"/>
                              <w:lang w:val="en-US" w:eastAsia="zh-CN" w:bidi="ar-SA"/>
                            </w:rPr>
                            <w:t xml:space="preserve"> </w:t>
                          </w:r>
                          <w:r>
                            <w:rPr>
                              <w:rFonts w:ascii="宋体" w:hAnsi="宋体" w:eastAsia="宋体" w:cs="Times New Roman"/>
                              <w:kern w:val="2"/>
                              <w:sz w:val="28"/>
                              <w:szCs w:val="18"/>
                              <w:lang w:val="en-US" w:eastAsia="zh-CN" w:bidi="ar-SA"/>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540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BDmKR9PQIAAHsEAAAOAAAAAAAAAAEAIAAAACUBAABk&#10;cnMvZTJvRG9jLnhtbFBLBQYAAAAABgAGAFkBAADUBQAAAAA=&#10;">
              <v:fill on="f" focussize="0,0"/>
              <v:stroke on="f" weight="0.5pt"/>
              <v:imagedata o:title=""/>
              <o:lock v:ext="edit" aspectratio="f"/>
              <v:textbox inset="16pt,0mm,16pt,0mm" style="mso-fit-shape-to-text:t;">
                <w:txbxContent>
                  <w:p w14:paraId="49B73CF9">
                    <w:pPr>
                      <w:widowControl w:val="0"/>
                      <w:snapToGrid w:val="0"/>
                      <w:jc w:val="left"/>
                      <w:rPr>
                        <w:rFonts w:ascii="宋体" w:hAnsi="宋体" w:eastAsia="宋体" w:cs="Times New Roman"/>
                        <w:kern w:val="2"/>
                        <w:sz w:val="28"/>
                        <w:szCs w:val="18"/>
                        <w:lang w:val="en-US" w:eastAsia="zh-CN" w:bidi="ar-SA"/>
                      </w:rPr>
                    </w:pPr>
                    <w:r>
                      <w:rPr>
                        <w:rFonts w:ascii="宋体" w:hAnsi="宋体" w:eastAsia="宋体" w:cs="Times New Roman"/>
                        <w:kern w:val="2"/>
                        <w:sz w:val="28"/>
                        <w:szCs w:val="18"/>
                        <w:lang w:val="en-US" w:eastAsia="zh-CN" w:bidi="ar-SA"/>
                      </w:rPr>
                      <w:t>—</w:t>
                    </w:r>
                    <w:r>
                      <w:rPr>
                        <w:rFonts w:ascii="宋体" w:hAnsi="宋体" w:eastAsia="宋体" w:cs="Times New Roman"/>
                        <w:kern w:val="2"/>
                        <w:sz w:val="24"/>
                        <w:szCs w:val="18"/>
                        <w:lang w:val="en-US" w:eastAsia="zh-CN" w:bidi="ar-SA"/>
                      </w:rPr>
                      <w:t xml:space="preserve"> </w:t>
                    </w:r>
                    <w:r>
                      <w:rPr>
                        <w:rFonts w:ascii="宋体" w:hAnsi="宋体" w:eastAsia="宋体" w:cs="Times New Roman"/>
                        <w:kern w:val="2"/>
                        <w:sz w:val="28"/>
                        <w:szCs w:val="18"/>
                        <w:lang w:val="en-US" w:eastAsia="zh-CN" w:bidi="ar-SA"/>
                      </w:rPr>
                      <w:fldChar w:fldCharType="begin"/>
                    </w:r>
                    <w:r>
                      <w:rPr>
                        <w:rFonts w:ascii="宋体" w:hAnsi="宋体" w:eastAsia="宋体" w:cs="Times New Roman"/>
                        <w:kern w:val="2"/>
                        <w:sz w:val="28"/>
                        <w:szCs w:val="18"/>
                        <w:lang w:val="en-US" w:eastAsia="zh-CN" w:bidi="ar-SA"/>
                      </w:rPr>
                      <w:instrText xml:space="preserve"> PAGE  \* MERGEFORMAT </w:instrText>
                    </w:r>
                    <w:r>
                      <w:rPr>
                        <w:rFonts w:ascii="宋体" w:hAnsi="宋体" w:eastAsia="宋体" w:cs="Times New Roman"/>
                        <w:kern w:val="2"/>
                        <w:sz w:val="28"/>
                        <w:szCs w:val="18"/>
                        <w:lang w:val="en-US" w:eastAsia="zh-CN" w:bidi="ar-SA"/>
                      </w:rPr>
                      <w:fldChar w:fldCharType="separate"/>
                    </w:r>
                    <w:r>
                      <w:rPr>
                        <w:rFonts w:ascii="宋体" w:hAnsi="宋体" w:eastAsia="宋体" w:cs="Times New Roman"/>
                        <w:kern w:val="2"/>
                        <w:sz w:val="28"/>
                        <w:szCs w:val="18"/>
                        <w:lang w:val="en-US" w:eastAsia="zh-CN" w:bidi="ar-SA"/>
                      </w:rPr>
                      <w:t>1</w:t>
                    </w:r>
                    <w:r>
                      <w:rPr>
                        <w:rFonts w:ascii="宋体" w:hAnsi="宋体" w:eastAsia="宋体" w:cs="Times New Roman"/>
                        <w:kern w:val="2"/>
                        <w:sz w:val="28"/>
                        <w:szCs w:val="18"/>
                        <w:lang w:val="en-US" w:eastAsia="zh-CN" w:bidi="ar-SA"/>
                      </w:rPr>
                      <w:fldChar w:fldCharType="end"/>
                    </w:r>
                    <w:r>
                      <w:rPr>
                        <w:rFonts w:ascii="宋体" w:hAnsi="宋体" w:eastAsia="宋体" w:cs="Times New Roman"/>
                        <w:kern w:val="2"/>
                        <w:sz w:val="24"/>
                        <w:szCs w:val="18"/>
                        <w:lang w:val="en-US" w:eastAsia="zh-CN" w:bidi="ar-SA"/>
                      </w:rPr>
                      <w:t xml:space="preserve"> </w:t>
                    </w:r>
                    <w:r>
                      <w:rPr>
                        <w:rFonts w:ascii="宋体" w:hAnsi="宋体" w:eastAsia="宋体" w:cs="Times New Roman"/>
                        <w:kern w:val="2"/>
                        <w:sz w:val="28"/>
                        <w:szCs w:val="18"/>
                        <w:lang w:val="en-US" w:eastAsia="zh-CN" w:bidi="ar-S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891AE">
    <w:pPr>
      <w:adjustRightInd w:val="0"/>
      <w:snapToGrid w:val="0"/>
      <w:spacing w:line="174" w:lineRule="auto"/>
      <w:ind w:left="7318" w:firstLine="536" w:firstLineChars="200"/>
      <w:rPr>
        <w:rFonts w:ascii="宋体" w:hAnsi="宋体" w:eastAsia="宋体" w:cs="宋体"/>
        <w:color w:val="auto"/>
        <w:spacing w:val="-6"/>
        <w:sz w:val="28"/>
        <w:szCs w:val="28"/>
      </w:rPr>
    </w:pPr>
    <w:r>
      <w:rPr>
        <w:rFonts w:ascii="仿宋" w:hAnsi="仿宋" w:eastAsia="仿宋" w:cs="Times New Roman"/>
        <w:color w:val="auto"/>
        <w:spacing w:val="-6"/>
        <w:sz w:val="28"/>
        <w:szCs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033207">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1</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GpUrO1gAAAAYBAAAPAAAAAAAAAAEAIAAAACIAAABkcnMv&#10;ZG93bnJldi54bWxQSwECFAAUAAAACACHTuJAtFpgXz4CAAB5BAAADgAAAAAAAAABACAAAAAlAQAA&#10;ZHJzL2Uyb0RvYy54bWxQSwUGAAAAAAYABgBZAQAA1QUAAAAA&#10;">
              <v:fill on="f" focussize="0,0"/>
              <v:stroke on="f" weight="0.5pt"/>
              <v:imagedata o:title=""/>
              <o:lock v:ext="edit" aspectratio="f"/>
              <v:textbox inset="16pt,0mm,16pt,0mm" style="mso-fit-shape-to-text:t;">
                <w:txbxContent>
                  <w:p w14:paraId="12033207">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1</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5ADA">
    <w:pPr>
      <w:widowControl w:val="0"/>
      <w:tabs>
        <w:tab w:val="center" w:pos="4153"/>
        <w:tab w:val="right" w:pos="8306"/>
      </w:tabs>
      <w:adjustRightInd w:val="0"/>
      <w:snapToGrid w:val="0"/>
      <w:spacing w:line="576" w:lineRule="exact"/>
      <w:ind w:firstLine="0" w:firstLineChars="0"/>
      <w:jc w:val="left"/>
      <w:rPr>
        <w:rFonts w:ascii="仿宋" w:hAnsi="仿宋" w:eastAsia="仿宋" w:cs="Times New Roman"/>
        <w:color w:val="auto"/>
        <w:spacing w:val="-6"/>
        <w:kern w:val="2"/>
        <w:sz w:val="18"/>
        <w:szCs w:val="18"/>
        <w:lang w:val="en-US" w:eastAsia="zh-CN" w:bidi="ar-SA"/>
      </w:rPr>
    </w:pPr>
    <w:r>
      <w:rPr>
        <w:rFonts w:ascii="仿宋" w:hAnsi="仿宋" w:eastAsia="仿宋" w:cs="Times New Roman"/>
        <w:color w:val="auto"/>
        <w:spacing w:val="-6"/>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7B3402">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GpUrO1gAAAAYBAAAPAAAAAAAAAAEAIAAAACIAAABkcnMv&#10;ZG93bnJldi54bWxQSwECFAAUAAAACACHTuJASDZdsz4CAAB5BAAADgAAAAAAAAABACAAAAAlAQAA&#10;ZHJzL2Uyb0RvYy54bWxQSwUGAAAAAAYABgBZAQAA1QUAAAAA&#10;">
              <v:fill on="f" focussize="0,0"/>
              <v:stroke on="f" weight="0.5pt"/>
              <v:imagedata o:title=""/>
              <o:lock v:ext="edit" aspectratio="f"/>
              <v:textbox inset="16pt,0mm,16pt,0mm" style="mso-fit-shape-to-text:t;">
                <w:txbxContent>
                  <w:p w14:paraId="557B3402">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01649">
    <w:pPr>
      <w:adjustRightInd w:val="0"/>
      <w:snapToGrid w:val="0"/>
      <w:spacing w:line="174" w:lineRule="auto"/>
      <w:ind w:left="7318" w:firstLine="536" w:firstLineChars="200"/>
      <w:rPr>
        <w:rFonts w:ascii="宋体" w:hAnsi="宋体" w:eastAsia="宋体" w:cs="宋体"/>
        <w:color w:val="auto"/>
        <w:spacing w:val="-6"/>
        <w:sz w:val="28"/>
        <w:szCs w:val="28"/>
      </w:rPr>
    </w:pPr>
    <w:r>
      <w:rPr>
        <w:rFonts w:ascii="仿宋" w:hAnsi="仿宋" w:eastAsia="仿宋" w:cs="Times New Roman"/>
        <w:color w:val="auto"/>
        <w:spacing w:val="-6"/>
        <w:sz w:val="28"/>
        <w:szCs w:val="32"/>
      </w:rPr>
      <mc:AlternateContent>
        <mc:Choice Requires="wps">
          <w:drawing>
            <wp:anchor distT="0" distB="0" distL="114300" distR="114300" simplePos="0" relativeHeight="251661312" behindDoc="0" locked="0" layoutInCell="1" allowOverlap="1">
              <wp:simplePos x="0" y="0"/>
              <wp:positionH relativeFrom="margin">
                <wp:posOffset>-353060</wp:posOffset>
              </wp:positionH>
              <wp:positionV relativeFrom="margin">
                <wp:align>outside</wp:align>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2A4343">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27</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7.8pt;height:144pt;width:144pt;mso-position-horizontal-relative:margin;mso-position-vertical:outside;mso-position-vertical-relative:margin;mso-wrap-style:none;z-index:251661312;mso-width-relative:page;mso-height-relative:page;" filled="f" stroked="f" coordsize="21600,21600" o:gfxdata="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1mVotYAAAAIAQAADwAAAAAAAAABACAAAAAiAAAA&#10;ZHJzL2Rvd25yZXYueG1sUEsBAhQAFAAAAAgAh07iQGxuDGpCAgAAewQAAA4AAAAAAAAAAQAgAAAA&#10;JQEAAGRycy9lMm9Eb2MueG1sUEsFBgAAAAAGAAYAWQEAANkFAAAAAA==&#10;">
              <v:fill on="f" focussize="0,0"/>
              <v:stroke on="f" weight="0.5pt"/>
              <v:imagedata o:title=""/>
              <o:lock v:ext="edit" aspectratio="f"/>
              <v:textbox inset="0mm,16pt,0mm,16pt" style="layout-flow:vertical-ideographic;mso-fit-shape-to-text:t;">
                <w:txbxContent>
                  <w:p w14:paraId="3A2A4343">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27</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4CD09">
    <w:pPr>
      <w:widowControl w:val="0"/>
      <w:tabs>
        <w:tab w:val="center" w:pos="4153"/>
        <w:tab w:val="right" w:pos="8306"/>
      </w:tabs>
      <w:adjustRightInd w:val="0"/>
      <w:snapToGrid w:val="0"/>
      <w:spacing w:line="576" w:lineRule="exact"/>
      <w:ind w:firstLine="0" w:firstLineChars="0"/>
      <w:jc w:val="left"/>
      <w:rPr>
        <w:rFonts w:ascii="仿宋" w:hAnsi="仿宋" w:eastAsia="仿宋" w:cs="Times New Roman"/>
        <w:color w:val="auto"/>
        <w:spacing w:val="-6"/>
        <w:kern w:val="2"/>
        <w:sz w:val="18"/>
        <w:szCs w:val="18"/>
        <w:lang w:val="en-US" w:eastAsia="zh-CN" w:bidi="ar-SA"/>
      </w:rPr>
    </w:pPr>
    <w:r>
      <w:rPr>
        <w:rFonts w:ascii="仿宋" w:hAnsi="仿宋" w:eastAsia="仿宋" w:cs="Times New Roman"/>
        <w:color w:val="auto"/>
        <w:spacing w:val="-6"/>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posOffset>-353060</wp:posOffset>
              </wp:positionH>
              <wp:positionV relativeFrom="margin">
                <wp:align>outside</wp:align>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F6C0AE">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28</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7.8pt;height:144pt;width:144pt;mso-position-horizontal-relative:margin;mso-position-vertical:outside;mso-position-vertical-relative:margin;mso-wrap-style:none;z-index:251662336;mso-width-relative:page;mso-height-relative:page;" filled="f" stroked="f" coordsize="21600,21600" o:gfxdata="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1mVotYAAAAIAQAADwAAAAAAAAABACAAAAAiAAAA&#10;ZHJzL2Rvd25yZXYueG1sUEsBAhQAFAAAAAgAh07iQGi8tZVCAgAAewQAAA4AAAAAAAAAAQAgAAAA&#10;JQEAAGRycy9lMm9Eb2MueG1sUEsFBgAAAAAGAAYAWQEAANkFAAAAAA==&#10;">
              <v:fill on="f" focussize="0,0"/>
              <v:stroke on="f" weight="0.5pt"/>
              <v:imagedata o:title=""/>
              <o:lock v:ext="edit" aspectratio="f"/>
              <v:textbox inset="0mm,16pt,0mm,16pt" style="layout-flow:vertical-ideographic;mso-fit-shape-to-text:t;">
                <w:txbxContent>
                  <w:p w14:paraId="7BF6C0AE">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28</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A839D">
    <w:pPr>
      <w:adjustRightInd w:val="0"/>
      <w:snapToGrid w:val="0"/>
      <w:spacing w:line="174" w:lineRule="auto"/>
      <w:ind w:left="7318" w:firstLine="536" w:firstLineChars="200"/>
      <w:rPr>
        <w:rFonts w:ascii="宋体" w:hAnsi="宋体" w:eastAsia="宋体" w:cs="宋体"/>
        <w:color w:val="auto"/>
        <w:spacing w:val="-6"/>
        <w:sz w:val="28"/>
        <w:szCs w:val="28"/>
      </w:rPr>
    </w:pPr>
    <w:r>
      <w:rPr>
        <w:rFonts w:ascii="仿宋" w:hAnsi="仿宋" w:eastAsia="仿宋" w:cs="Times New Roman"/>
        <w:color w:val="auto"/>
        <w:spacing w:val="-6"/>
        <w:sz w:val="28"/>
        <w:szCs w:val="3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304225">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29</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3360;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B30gRtPQIAAHkEAAAOAAAAAAAAAAEAIAAAACUBAABk&#10;cnMvZTJvRG9jLnhtbFBLBQYAAAAABgAGAFkBAADUBQAAAAA=&#10;">
              <v:fill on="f" focussize="0,0"/>
              <v:stroke on="f" weight="0.5pt"/>
              <v:imagedata o:title=""/>
              <o:lock v:ext="edit" aspectratio="f"/>
              <v:textbox inset="16pt,0mm,16pt,0mm" style="mso-fit-shape-to-text:t;">
                <w:txbxContent>
                  <w:p w14:paraId="49304225">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29</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69D36">
    <w:pPr>
      <w:widowControl w:val="0"/>
      <w:tabs>
        <w:tab w:val="center" w:pos="4153"/>
        <w:tab w:val="right" w:pos="8306"/>
      </w:tabs>
      <w:adjustRightInd w:val="0"/>
      <w:snapToGrid w:val="0"/>
      <w:spacing w:line="576" w:lineRule="exact"/>
      <w:ind w:firstLine="0" w:firstLineChars="0"/>
      <w:jc w:val="left"/>
      <w:rPr>
        <w:rFonts w:ascii="仿宋" w:hAnsi="仿宋" w:eastAsia="仿宋" w:cs="Times New Roman"/>
        <w:color w:val="auto"/>
        <w:spacing w:val="-6"/>
        <w:kern w:val="2"/>
        <w:sz w:val="18"/>
        <w:szCs w:val="18"/>
        <w:lang w:val="en-US" w:eastAsia="zh-CN" w:bidi="ar-SA"/>
      </w:rPr>
    </w:pPr>
    <w:r>
      <w:rPr>
        <w:rFonts w:ascii="仿宋" w:hAnsi="仿宋" w:eastAsia="仿宋" w:cs="Times New Roman"/>
        <w:color w:val="auto"/>
        <w:spacing w:val="-6"/>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7EF922">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30</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438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CLvjmBPQIAAHkEAAAOAAAAAAAAAAEAIAAAACUBAABk&#10;cnMvZTJvRG9jLnhtbFBLBQYAAAAABgAGAFkBAADUBQAAAAA=&#10;">
              <v:fill on="f" focussize="0,0"/>
              <v:stroke on="f" weight="0.5pt"/>
              <v:imagedata o:title=""/>
              <o:lock v:ext="edit" aspectratio="f"/>
              <v:textbox inset="16pt,0mm,16pt,0mm" style="mso-fit-shape-to-text:t;">
                <w:txbxContent>
                  <w:p w14:paraId="0F7EF922">
                    <w:pPr>
                      <w:widowControl w:val="0"/>
                      <w:tabs>
                        <w:tab w:val="center" w:pos="4153"/>
                        <w:tab w:val="right" w:pos="8306"/>
                      </w:tabs>
                      <w:adjustRightInd w:val="0"/>
                      <w:snapToGrid w:val="0"/>
                      <w:spacing w:line="576" w:lineRule="exact"/>
                      <w:ind w:firstLine="0" w:firstLineChars="0"/>
                      <w:jc w:val="left"/>
                      <w:rPr>
                        <w:rFonts w:ascii="宋体" w:hAnsi="宋体" w:eastAsia="宋体" w:cs="Times New Roman"/>
                        <w:color w:val="auto"/>
                        <w:spacing w:val="-6"/>
                        <w:kern w:val="2"/>
                        <w:sz w:val="28"/>
                        <w:szCs w:val="18"/>
                        <w:lang w:val="en-US" w:eastAsia="zh-CN" w:bidi="ar-SA"/>
                      </w:rPr>
                    </w:pPr>
                    <w:r>
                      <w:rPr>
                        <w:rFonts w:ascii="宋体" w:hAnsi="宋体" w:eastAsia="宋体" w:cs="Times New Roman"/>
                        <w:color w:val="auto"/>
                        <w:spacing w:val="-6"/>
                        <w:kern w:val="2"/>
                        <w:sz w:val="28"/>
                        <w:szCs w:val="18"/>
                        <w:lang w:val="en-US" w:eastAsia="zh-CN" w:bidi="ar-SA"/>
                      </w:rPr>
                      <w:t>—</w:t>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fldChar w:fldCharType="begin"/>
                    </w:r>
                    <w:r>
                      <w:rPr>
                        <w:rFonts w:ascii="宋体" w:hAnsi="宋体" w:eastAsia="宋体" w:cs="Times New Roman"/>
                        <w:color w:val="auto"/>
                        <w:spacing w:val="-6"/>
                        <w:kern w:val="2"/>
                        <w:sz w:val="28"/>
                        <w:szCs w:val="18"/>
                        <w:lang w:val="en-US" w:eastAsia="zh-CN" w:bidi="ar-SA"/>
                      </w:rPr>
                      <w:instrText xml:space="preserve"> PAGE  \* MERGEFORMAT </w:instrText>
                    </w:r>
                    <w:r>
                      <w:rPr>
                        <w:rFonts w:ascii="宋体" w:hAnsi="宋体" w:eastAsia="宋体" w:cs="Times New Roman"/>
                        <w:color w:val="auto"/>
                        <w:spacing w:val="-6"/>
                        <w:kern w:val="2"/>
                        <w:sz w:val="28"/>
                        <w:szCs w:val="18"/>
                        <w:lang w:val="en-US" w:eastAsia="zh-CN" w:bidi="ar-SA"/>
                      </w:rPr>
                      <w:fldChar w:fldCharType="separate"/>
                    </w:r>
                    <w:r>
                      <w:rPr>
                        <w:rFonts w:ascii="宋体" w:hAnsi="宋体" w:eastAsia="宋体" w:cs="Times New Roman"/>
                        <w:color w:val="auto"/>
                        <w:spacing w:val="-6"/>
                        <w:kern w:val="2"/>
                        <w:sz w:val="28"/>
                        <w:szCs w:val="18"/>
                        <w:lang w:val="en-US" w:eastAsia="zh-CN" w:bidi="ar-SA"/>
                      </w:rPr>
                      <w:t>30</w:t>
                    </w:r>
                    <w:r>
                      <w:rPr>
                        <w:rFonts w:ascii="宋体" w:hAnsi="宋体" w:eastAsia="宋体" w:cs="Times New Roman"/>
                        <w:color w:val="auto"/>
                        <w:spacing w:val="-6"/>
                        <w:kern w:val="2"/>
                        <w:sz w:val="28"/>
                        <w:szCs w:val="18"/>
                        <w:lang w:val="en-US" w:eastAsia="zh-CN" w:bidi="ar-SA"/>
                      </w:rPr>
                      <w:fldChar w:fldCharType="end"/>
                    </w:r>
                    <w:r>
                      <w:rPr>
                        <w:rFonts w:ascii="宋体" w:hAnsi="宋体" w:eastAsia="宋体" w:cs="Times New Roman"/>
                        <w:color w:val="auto"/>
                        <w:spacing w:val="-6"/>
                        <w:kern w:val="2"/>
                        <w:sz w:val="24"/>
                        <w:szCs w:val="18"/>
                        <w:lang w:val="en-US" w:eastAsia="zh-CN" w:bidi="ar-SA"/>
                      </w:rPr>
                      <w:t xml:space="preserve"> </w:t>
                    </w:r>
                    <w:r>
                      <w:rPr>
                        <w:rFonts w:ascii="宋体" w:hAnsi="宋体" w:eastAsia="宋体" w:cs="Times New Roman"/>
                        <w:color w:val="auto"/>
                        <w:spacing w:val="-6"/>
                        <w:kern w:val="2"/>
                        <w:sz w:val="28"/>
                        <w:szCs w:val="18"/>
                        <w:lang w:val="en-US" w:eastAsia="zh-CN" w:bidi="ar-SA"/>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B44B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256B9">
                          <w:pPr>
                            <w:pStyle w:val="4"/>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3256B9">
                    <w:pPr>
                      <w:pStyle w:val="4"/>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D9C2C">
    <w:pPr>
      <w:widowControl w:val="0"/>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line="240" w:lineRule="auto"/>
      <w:ind w:firstLine="0" w:firstLineChars="0"/>
      <w:jc w:val="both"/>
      <w:rPr>
        <w:rFonts w:ascii="仿宋" w:hAnsi="仿宋" w:eastAsia="仿宋" w:cs="Times New Roman"/>
        <w:color w:val="auto"/>
        <w:spacing w:val="-6"/>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33791">
    <w:pPr>
      <w:widowControl w:val="0"/>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line="240" w:lineRule="auto"/>
      <w:ind w:firstLine="0" w:firstLineChars="0"/>
      <w:jc w:val="both"/>
      <w:rPr>
        <w:rFonts w:ascii="仿宋" w:hAnsi="仿宋" w:eastAsia="仿宋" w:cs="Times New Roman"/>
        <w:color w:val="auto"/>
        <w:spacing w:val="-6"/>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A8EFD">
    <w:pPr>
      <w:widowControl w:val="0"/>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line="240" w:lineRule="auto"/>
      <w:ind w:firstLine="0" w:firstLineChars="0"/>
      <w:jc w:val="both"/>
      <w:rPr>
        <w:rFonts w:ascii="仿宋" w:hAnsi="仿宋" w:eastAsia="仿宋" w:cs="Times New Roman"/>
        <w:color w:val="auto"/>
        <w:spacing w:val="-6"/>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E7826">
    <w:pPr>
      <w:widowControl w:val="0"/>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line="240" w:lineRule="auto"/>
      <w:ind w:firstLine="0" w:firstLineChars="0"/>
      <w:jc w:val="both"/>
      <w:rPr>
        <w:rFonts w:ascii="仿宋" w:hAnsi="仿宋" w:eastAsia="仿宋" w:cs="Times New Roman"/>
        <w:color w:val="auto"/>
        <w:spacing w:val="-6"/>
        <w:kern w:val="2"/>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832E5">
    <w:pPr>
      <w:pStyle w:val="5"/>
      <w:tabs>
        <w:tab w:val="left" w:pos="6415"/>
        <w:tab w:val="clear" w:pos="4153"/>
      </w:tabs>
      <w:rPr>
        <w:rFonts w:hint="eastAsia" w:eastAsiaTheme="minorEastAsia"/>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977F60"/>
    <w:multiLevelType w:val="singleLevel"/>
    <w:tmpl w:val="22977F60"/>
    <w:lvl w:ilvl="0" w:tentative="0">
      <w:start w:val="2"/>
      <w:numFmt w:val="chineseCounting"/>
      <w:suff w:val="space"/>
      <w:lvlText w:val="第%1章"/>
      <w:lvlJc w:val="left"/>
      <w:rPr>
        <w:rFonts w:hint="eastAsia"/>
      </w:rPr>
    </w:lvl>
  </w:abstractNum>
  <w:abstractNum w:abstractNumId="1">
    <w:nsid w:val="36FD19D9"/>
    <w:multiLevelType w:val="singleLevel"/>
    <w:tmpl w:val="36FD19D9"/>
    <w:lvl w:ilvl="0" w:tentative="0">
      <w:start w:val="8"/>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DD881"/>
    <w:rsid w:val="01DF5C17"/>
    <w:rsid w:val="024C492F"/>
    <w:rsid w:val="0A0E077A"/>
    <w:rsid w:val="0E99714E"/>
    <w:rsid w:val="128A572B"/>
    <w:rsid w:val="12BA63A4"/>
    <w:rsid w:val="15B46784"/>
    <w:rsid w:val="16443E43"/>
    <w:rsid w:val="17816D98"/>
    <w:rsid w:val="1A3F329F"/>
    <w:rsid w:val="1B51797C"/>
    <w:rsid w:val="1C8925AF"/>
    <w:rsid w:val="1F282554"/>
    <w:rsid w:val="20253769"/>
    <w:rsid w:val="21855553"/>
    <w:rsid w:val="21B75A1E"/>
    <w:rsid w:val="24244C66"/>
    <w:rsid w:val="2454474E"/>
    <w:rsid w:val="24E32A79"/>
    <w:rsid w:val="260B03CF"/>
    <w:rsid w:val="28A62278"/>
    <w:rsid w:val="2AB96756"/>
    <w:rsid w:val="2DA84860"/>
    <w:rsid w:val="3ABB3521"/>
    <w:rsid w:val="41E047EF"/>
    <w:rsid w:val="4DE707AB"/>
    <w:rsid w:val="52241018"/>
    <w:rsid w:val="55CC1950"/>
    <w:rsid w:val="598474ED"/>
    <w:rsid w:val="59AF294E"/>
    <w:rsid w:val="5B46631F"/>
    <w:rsid w:val="619D55B4"/>
    <w:rsid w:val="66CF4630"/>
    <w:rsid w:val="67EE326C"/>
    <w:rsid w:val="6841330B"/>
    <w:rsid w:val="70C45E1F"/>
    <w:rsid w:val="757B5594"/>
    <w:rsid w:val="76723C90"/>
    <w:rsid w:val="7A72751F"/>
    <w:rsid w:val="7C965F0E"/>
    <w:rsid w:val="7DFDD881"/>
    <w:rsid w:val="7F9D3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semiHidden/>
    <w:qFormat/>
    <w:uiPriority w:val="0"/>
    <w:pPr>
      <w:widowControl w:val="0"/>
      <w:jc w:val="both"/>
    </w:pPr>
    <w:rPr>
      <w:rFonts w:ascii="方正仿宋_GBK" w:hAnsi="方正仿宋_GBK" w:eastAsia="方正仿宋_GBK" w:cs="方正仿宋_GBK"/>
      <w:kern w:val="2"/>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next w:val="4"/>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宋体" w:hAnsi="Times New Roman" w:eastAsia="宋体" w:cs="Times New Roman"/>
      <w:snapToGrid/>
      <w:color w:val="auto"/>
      <w:spacing w:val="0"/>
      <w:w w:val="100"/>
      <w:kern w:val="0"/>
      <w:position w:val="0"/>
      <w:sz w:val="24"/>
      <w:szCs w:val="21"/>
      <w:u w:val="none" w:color="auto"/>
      <w:vertAlign w:val="baseline"/>
      <w:lang w:val="en-US" w:eastAsia="zh-CN" w:bidi="ar-SA"/>
    </w:rPr>
  </w:style>
  <w:style w:type="character" w:styleId="9">
    <w:name w:val="Strong"/>
    <w:basedOn w:val="8"/>
    <w:qFormat/>
    <w:uiPriority w:val="99"/>
    <w:rPr>
      <w:rFonts w:cs="Times New Roman"/>
      <w:b/>
    </w:r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37e7cb70-896b-4008-a6c1-c783d7181c40</errorID>
      <errorWord>公平竞争、</errorWord>
      <group>L1_Political</group>
      <groupName>政治性问题</groupName>
      <ability>L2_Keyword</ability>
      <abilityName>固定表述</abilityName>
      <candidateList>
        <item>公平竞争审查、</item>
      </candidateList>
      <explain>此处内容疑似含有固定表述相关错误，建议核查。</explain>
      <paraID>67A5CCCC</paraID>
      <start>71</start>
      <end>76</end>
      <status>unmodified</status>
      <modifiedWord/>
      <trackRevisions>false</trackRevisions>
    </reviewItem>
    <reviewItem>
      <errorID>931df87f-1e72-413b-a145-f0ae4b1d55f4</errorID>
      <errorWord>法律、法规</errorWord>
      <group>L1_Word</group>
      <groupName>字词问题</groupName>
      <ability>L2_Typo</ability>
      <abilityName>字词错误</abilityName>
      <candidateList>
        <item>法律法规</item>
      </candidateList>
      <explain/>
      <paraID>2FF2047D</paraID>
      <start>3</start>
      <end>8</end>
      <status>unmodified</status>
      <modifiedWord/>
      <trackRevisions>false</trackRevisions>
    </reviewItem>
    <reviewItem>
      <errorID>6608a187-224b-4185-b8d1-0e133600d57f</errorID>
      <errorWord>及</errorWord>
      <group>L1_Word</group>
      <groupName>字词问题</groupName>
      <ability>L2_Typo</ability>
      <abilityName>字词错误</abilityName>
      <candidateList>
        <item>和</item>
      </candidateList>
      <explain/>
      <paraID>6BC3C2C2</paraID>
      <start>22</start>
      <end>23</end>
      <status>unmodified</status>
      <modifiedWord/>
      <trackRevisions>false</trackRevisions>
    </reviewItem>
    <reviewItem>
      <errorID>22df266b-c955-43b4-9bb1-d3fabd07ba8c</errorID>
      <errorWord>批准同意</errorWord>
      <group>L1_Grammar</group>
      <groupName>语法问题</groupName>
      <ability>L2_Grammar</ability>
      <abilityName>语法错误</abilityName>
      <candidateList>
        <item>批准</item>
      </candidateList>
      <explain/>
      <paraID>  1038B7</paraID>
      <start>131</start>
      <end>135</end>
      <status>unmodified</status>
      <modifiedWord/>
      <trackRevisions>false</trackRevisions>
    </reviewItem>
    <reviewItem>
      <errorID>210102c2-e579-4834-b98e-67bc9db6ff9a</errorID>
      <errorWord>法律、法规</errorWord>
      <group>L1_Word</group>
      <groupName>字词问题</groupName>
      <ability>L2_Typo</ability>
      <abilityName>字词错误</abilityName>
      <candidateList>
        <item>法律法规</item>
      </candidateList>
      <explain/>
      <paraID>439FC191</paraID>
      <start>20</start>
      <end>25</end>
      <status>unmodified</status>
      <modifiedWord/>
      <trackRevisions>false</trackRevisions>
    </reviewItem>
    <reviewItem>
      <errorID>b762df83-19eb-4ee2-b43c-293e4660353d</errorID>
      <errorWord>账账</errorWord>
      <group>L1_Word</group>
      <groupName>字词问题</groupName>
      <ability>L2_Typo</ability>
      <abilityName>字词错误</abilityName>
      <candidateList>
        <item>账</item>
      </candidateList>
      <explain/>
      <paraID>30FFE368</paraID>
      <start>252</start>
      <end>254</end>
      <status>unmodified</status>
      <modifiedWord/>
      <trackRevisions>false</trackRevisions>
    </reviewItem>
    <reviewItem>
      <errorID>5814a03c-8b59-46e9-9b46-5c9c638e2304</errorID>
      <errorWord>的</errorWord>
      <group>L1_Word</group>
      <groupName>字词问题</groupName>
      <ability>L2_Typo</ability>
      <abilityName>字词错误</abilityName>
      <candidateList>
        <item>时</item>
      </candidateList>
      <explain/>
      <paraID>23D8B8DF</paraID>
      <start>30</start>
      <end>31</end>
      <status>unmodified</status>
      <modifiedWord/>
      <trackRevisions>false</trackRevisions>
    </reviewItem>
    <reviewItem>
      <errorID>dc07358a-ddc5-4c98-9018-de86f8a2e4d2</errorID>
      <errorWord>账账</errorWord>
      <group>L1_Word</group>
      <groupName>字词问题</groupName>
      <ability>L2_Typo</ability>
      <abilityName>字词错误</abilityName>
      <candidateList>
        <item>账</item>
      </candidateList>
      <explain/>
      <paraID>6B7D9200</paraID>
      <start>31</start>
      <end>33</end>
      <status>unmodified</status>
      <modifiedWord/>
      <trackRevisions>false</trackRevisions>
    </reviewItem>
    <reviewItem>
      <errorID>a956aab1-79e8-435e-b3e6-e230b6da7760</errorID>
      <errorWord>附 </errorWord>
      <group>L1_Word</group>
      <groupName>字词问题</groupName>
      <ability>L2_Typo</ability>
      <abilityName>字词错误</abilityName>
      <candidateList>
        <item> 附</item>
      </candidateList>
      <explain/>
      <paraID> 2CFBE37</paraID>
      <start>0</start>
      <end>2</end>
      <status>unmodified</status>
      <modifiedWord/>
      <trackRevisions>false</trackRevisions>
    </reviewItem>
    <reviewItem>
      <errorID>fdbdcff2-c2c1-4d8c-a2d8-a5f893896901</errorID>
      <errorWord> </errorWord>
      <group>L1_Punc</group>
      <groupName>标点问题</groupName>
      <ability>L2_Punc_CN</ability>
      <abilityName>标点符号问题</abilityName>
      <candidateList>
        <item>  </item>
      </candidateList>
      <explain/>
      <paraID>62615208</paraID>
      <start>16</start>
      <end>17</end>
      <status>unmodified</status>
      <modifiedWord/>
      <trackRevisions>false</trackRevisions>
    </reviewItem>
    <reviewItem>
      <errorID>83ab9c8a-b5a3-4958-8c40-a25a420e47fa</errorID>
      <errorWord> </errorWord>
      <group>L1_Punc</group>
      <groupName>标点问题</groupName>
      <ability>L2_Punc_CN</ability>
      <abilityName>标点符号问题</abilityName>
      <candidateList>
        <item>  </item>
      </candidateList>
      <explain/>
      <paraID>62615208</paraID>
      <start>18</start>
      <end>19</end>
      <status>unmodified</status>
      <modifiedWord/>
      <trackRevisions>false</trackRevisions>
    </reviewItem>
    <reviewItem>
      <errorID>b86ccfe5-a404-4bef-bcc5-681709bf779f</errorID>
      <errorWord>每个</errorWord>
      <group>L1_Grammar</group>
      <groupName>语法问题</groupName>
      <ability>L2_Grammar</ability>
      <abilityName>语法错误</abilityName>
      <candidateList>
        <item>的，每个</item>
      </candidateList>
      <explain/>
      <paraID> 2FF6019</paraID>
      <start>4</start>
      <end>6</end>
      <status>unmodified</status>
      <modifiedWord/>
      <trackRevisions>false</trackRevisions>
    </reviewItem>
    <reviewItem>
      <errorID>2835fd4f-57c2-4f99-a057-e4269985ae68</errorID>
      <errorWord>2.900</errorWord>
      <group>L1_Word</group>
      <groupName>字词问题</groupName>
      <ability>L2_Typo</ability>
      <abilityName>字词错误</abilityName>
      <candidateList>
        <item>2900</item>
      </candidateList>
      <explain/>
      <paraID> 2736E9F</paraID>
      <start>0</start>
      <end>5</end>
      <status>unmodified</status>
      <modifiedWord/>
      <trackRevisions>false</trackRevisions>
    </reviewItem>
    <reviewItem>
      <errorID>a6d051b4-f62e-4eb8-8721-5de5bc623e9b</errorID>
      <errorWord>.100</errorWord>
      <group>L1_Word</group>
      <groupName>字词问题</groupName>
      <ability>L2_Typo</ability>
      <abilityName>字词错误</abilityName>
      <candidateList>
        <item>,000</item>
      </candidateList>
      <explain/>
      <paraID>631C2298</paraID>
      <start>1</start>
      <end>5</end>
      <status>unmodified</status>
      <modifiedWord/>
      <trackRevisions>false</trackRevisions>
    </reviewItem>
    <reviewItem>
      <errorID>5dd10872-1eaf-4994-859d-8641e21f16d8</errorID>
      <errorWord>；</errorWord>
      <group>L1_Punc</group>
      <groupName>标点问题</groupName>
      <ability>L2_Punc_CN</ability>
      <abilityName>标点符号问题</abilityName>
      <candidateList>
        <item>，</item>
      </candidateList>
      <explain/>
      <paraID>76F05206</paraID>
      <start>121</start>
      <end>122</end>
      <status>unmodified</status>
      <modifiedWord/>
      <trackRevisions>false</trackRevisions>
    </reviewItem>
    <reviewItem>
      <errorID>0e94f1a8-e3e8-47a2-b652-a85686cf5888</errorID>
      <errorWord>（</errorWord>
      <group>L1_Punc</group>
      <groupName>标点问题</groupName>
      <ability>L2_Punc_CN</ability>
      <abilityName>标点符号问题</abilityName>
      <candidateList/>
      <explain>同一形式括号套用。</explain>
      <paraID>633E52C2</paraID>
      <start>118</start>
      <end>119</end>
      <status>unmodified</status>
      <modifiedWord/>
      <trackRevisions>false</trackRevisions>
    </reviewItem>
    <reviewItem>
      <errorID>4c587ed8-b96d-4151-a301-df2a2d153522</errorID>
      <errorWord>）</errorWord>
      <group>L1_Punc</group>
      <groupName>标点问题</groupName>
      <ability>L2_Punc_CN</ability>
      <abilityName>标点符号问题</abilityName>
      <candidateList/>
      <explain>同一形式括号套用。</explain>
      <paraID>633E52C2</paraID>
      <start>121</start>
      <end>122</end>
      <status>unmodified</status>
      <modifiedWord/>
      <trackRevisions>false</trackRevisions>
    </reviewItem>
    <reviewItem>
      <errorID>383a04f6-4935-4588-8bdc-faac0aa71d59</errorID>
      <errorWord>仍</errorWord>
      <group>L1_Grammar</group>
      <groupName>语法问题</groupName>
      <ability>L2_Grammar</ability>
      <abilityName>语法错误</abilityName>
      <candidateList>
        <item>但仍仍</item>
      </candidateList>
      <explain/>
      <paraID>5467750B</paraID>
      <start>37</start>
      <end>38</end>
      <status>unmodified</status>
      <modifiedWord/>
      <trackRevisions>false</trackRevisions>
    </reviewItem>
    <reviewItem>
      <errorID>2e20c823-a396-4d20-832d-a9d94ada0425</errorID>
      <errorWord>价</errorWord>
      <group>L1_Word</group>
      <groupName>字词问题</groupName>
      <ability>L2_Typo</ability>
      <abilityName>字词错误</abilityName>
      <candidateList>
        <item>价格</item>
      </candidateList>
      <explain/>
      <paraID>61AA467E</paraID>
      <start>118</start>
      <end>119</end>
      <status>unmodified</status>
      <modifiedWord/>
      <trackRevisions>false</trackRevisions>
    </reviewItem>
    <reviewItem>
      <errorID>2e0c350d-2875-406d-82e6-f5bd5bb126c7</errorID>
      <errorWord>及时</errorWord>
      <group>L1_Grammar</group>
      <groupName>语法问题</groupName>
      <ability>L2_Grammar</ability>
      <abilityName>语法错误</abilityName>
      <candidateList>
        <item>督促其及时</item>
      </candidateList>
      <explain/>
      <paraID>1ABBC9FC</paraID>
      <start>145</start>
      <end>147</end>
      <status>unmodified</status>
      <modifiedWord/>
      <trackRevisions>false</trackRevisions>
    </reviewItem>
    <reviewItem>
      <errorID>8cc06604-fb91-47a8-9812-eeaa341c37e2</errorID>
      <errorWord>情形</errorWord>
      <group>L1_Punc</group>
      <groupName>标点问题</groupName>
      <ability>L2_Punc_CN</ability>
      <abilityName>标点符号问题</abilityName>
      <candidateList>
        <item>情形。</item>
      </candidateList>
      <explain/>
      <paraID>3F5AD400</paraID>
      <start>162</start>
      <end>164</end>
      <status>unmodified</status>
      <modifiedWord/>
      <trackRevisions>false</trackRevisions>
    </reviewItem>
    <reviewItem>
      <errorID>b7492a56-f5bb-488e-99c0-b7fb4e064d6a</errorID>
      <errorWord>年</errorWord>
      <group>L1_Word</group>
      <groupName>字词问题</groupName>
      <ability>L2_Typo</ability>
      <abilityName>字词错误</abilityName>
      <candidateList>
        <item> 年</item>
      </candidateList>
      <explain/>
      <paraID>71A39794</paraID>
      <start>4</start>
      <end>5</end>
      <status>unmodified</status>
      <modifiedWord/>
      <trackRevisions>false</trackRevisions>
    </reviewItem>
    <reviewItem>
      <errorID>d06b44d9-e21c-48d2-8ffc-1d13d7a2ced3</errorID>
      <errorWord>日</errorWord>
      <group>L1_Word</group>
      <groupName>字词问题</groupName>
      <ability>L2_Typo</ability>
      <abilityName>字词错误</abilityName>
      <candidateList>
        <item> 日</item>
      </candidateList>
      <explain/>
      <paraID>71A39794</paraID>
      <start>7</start>
      <end>8</end>
      <status>unmodified</status>
      <modifiedWord/>
      <trackRevisions>false</trackRevisions>
    </reviewItem>
    <reviewItem>
      <errorID>5ddcc324-e9f1-4697-a60c-bf188339e8a1</errorID>
      <errorWord>年月日</errorWord>
      <group>L1_Grammar</group>
      <groupName>语法问题</groupName>
      <ability>L2_Grammar</ability>
      <abilityName>语法错误</abilityName>
      <candidateList>
        <item> 年 月 日</item>
      </candidateList>
      <explain/>
      <paraID>19EB2526</paraID>
      <start>4</start>
      <end>7</end>
      <status>unmodified</status>
      <modifiedWord/>
      <trackRevisions>false</trackRevisions>
    </reviewItem>
    <reviewItem>
      <errorID>225db0d9-1838-426f-af24-53484ee35f87</errorID>
      <errorWord>。</errorWord>
      <group>L1_Punc</group>
      <groupName>标点问题</groupName>
      <ability>L2_Punc_CN</ability>
      <abilityName>标点符号问题</abilityName>
      <candidateList>
        <item/>
      </candidateList>
      <explain/>
      <paraID>60D55E62</paraID>
      <start>48</start>
      <end>49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d1aacd-5e4a-4ae1-b90d-77e801f7dd01}">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13778</Words>
  <Characters>13950</Characters>
  <Lines>0</Lines>
  <Paragraphs>0</Paragraphs>
  <TotalTime>1</TotalTime>
  <ScaleCrop>false</ScaleCrop>
  <LinksUpToDate>false</LinksUpToDate>
  <CharactersWithSpaces>14211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2026-05-19T19:29:00Z</dcterms:created>
  <dc:creator>Cenzi</dc:creator>
  <cp:lastModifiedBy>微笑</cp:lastModifiedBy>
  <cp:lastPrinted>2026-07-28T07:53:00Z</cp:lastPrinted>
  <dcterms:modified xsi:type="dcterms:W3CDTF">2026-07-31T00:57:44Z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7950BBA318774050B90A775DAEB444FC_13</vt:lpwstr>
  </property>
  <property fmtid="{D5CDD505-2E9C-101B-9397-08002B2CF9AE}" pid="4" name="KSOTemplateDocerSaveRecord">
    <vt:lpwstr>eyJoZGlkIjoiMmI4YWJmMWNkNDRkNGFkZjJjODA3YzM1YmM3MjRjNTEiLCJ1c2VySWQiOiIzOTc4NDA2NDMifQ==</vt:lpwstr>
  </property>
</Properties>
</file>