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关于加强农村用电共建共治共享机制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建设的实施意见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为进一步完善农村电力服务保障，加强农村用电安全工作，积极服务农村能源转型，推动构建和谐的农村供用电环境，巩固拓展脱贫攻坚成果，助力乡村振兴，现就建立农村用电共建共治共享机制提出如下意见：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坚持以习近平新时代中国特色社会主义思想为指导，深入贯彻落实习近平总书记关于乡村振兴的重要论述，推动农村用电管理工作纳入综合治理体系。按照</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委农村工作会议部署要求，坚持稳中求进的工作总基调，完整、准确、全面贯彻新发展理念，推行“政府主导、乡村实施、群众参与、供电企业技术支持”的政企共建</w:t>
      </w:r>
      <w:r>
        <w:rPr>
          <w:rFonts w:hint="eastAsia" w:ascii="仿宋_GB2312" w:hAnsi="仿宋_GB2312" w:eastAsia="仿宋_GB2312" w:cs="仿宋_GB2312"/>
          <w:color w:val="auto"/>
          <w:sz w:val="32"/>
          <w:szCs w:val="32"/>
        </w:rPr>
        <w:t>共治共享模式，全力保障农村电网有序运行，提升农村供电服务质效,提高城乡服务一体化水平，切实打通乡村供电服务“最后100米”。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sz w:val="32"/>
          <w:szCs w:val="32"/>
        </w:rPr>
        <w:t>（一）创新服务管理，深化政企共建。</w:t>
      </w:r>
      <w:r>
        <w:rPr>
          <w:rFonts w:hint="eastAsia" w:ascii="仿宋_GB2312" w:hAnsi="仿宋_GB2312" w:eastAsia="仿宋_GB2312" w:cs="仿宋_GB2312"/>
          <w:color w:val="auto"/>
          <w:sz w:val="32"/>
          <w:szCs w:val="32"/>
        </w:rPr>
        <w:t>全面构建“政企联动、乡村实施、电力服务”共建机制。计划在“十四五”期间分批完成“乡村电力服务驿站”建设目标，实现全县302个行政村全覆盖，推动村所联动“振兴1+1”（即“一村一驿站”+“一村一特色”）结对共建共促模式，为乡村居民用电和特色产业发展解难题、办实事、促发展，实现农村用电服务管理脉络清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sz w:val="32"/>
          <w:szCs w:val="32"/>
        </w:rPr>
        <w:t>（二）加强供电保障，促进村电共治。</w:t>
      </w:r>
      <w:r>
        <w:rPr>
          <w:rFonts w:hint="eastAsia" w:ascii="仿宋_GB2312" w:hAnsi="仿宋_GB2312" w:eastAsia="仿宋_GB2312" w:cs="仿宋_GB2312"/>
          <w:color w:val="auto"/>
          <w:sz w:val="32"/>
          <w:szCs w:val="32"/>
        </w:rPr>
        <w:t>全面构建“保护器运行维护、电力设施保护、线路违规搭挂”共治机制，加快农村用电环境改善，全面升级基础设施，主动做好乡村振兴用电保障，确保总保、家保安装率、投运率和正确动作率均达100%，不发生电力设施外力破坏事件（事故）、“三电”线路整治取得显著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sz w:val="32"/>
          <w:szCs w:val="32"/>
        </w:rPr>
        <w:t>（三）服务安全用电，助力信息共享。</w:t>
      </w:r>
      <w:r>
        <w:rPr>
          <w:rFonts w:hint="eastAsia" w:ascii="仿宋_GB2312" w:hAnsi="仿宋_GB2312" w:eastAsia="仿宋_GB2312" w:cs="仿宋_GB2312"/>
          <w:color w:val="auto"/>
          <w:sz w:val="32"/>
          <w:szCs w:val="32"/>
        </w:rPr>
        <w:t>全面构建“农村安全用电、电力营销业务、电网发展规划”信息共享机制，利用数字化手段，推动资源下沉，实现用电服务闭环管理，常态开展安全用电、政策法规知识普及，让农村安全用电知识惠及千家万户，实现网上国网云终端行政村（社区）全覆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三、重点工作及举措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sz w:val="32"/>
          <w:szCs w:val="32"/>
        </w:rPr>
        <w:t>（一）加强电力服务驿站建设，服务群众最后100米。</w:t>
      </w:r>
      <w:r>
        <w:rPr>
          <w:rFonts w:hint="eastAsia" w:ascii="仿宋_GB2312" w:hAnsi="仿宋_GB2312" w:eastAsia="仿宋_GB2312" w:cs="仿宋_GB2312"/>
          <w:color w:val="auto"/>
          <w:sz w:val="32"/>
          <w:szCs w:val="32"/>
        </w:rPr>
        <w:t>构建以“驻村台区经理为核心、</w:t>
      </w:r>
      <w:r>
        <w:rPr>
          <w:rFonts w:hint="eastAsia" w:ascii="仿宋_GB2312" w:hAnsi="仿宋_GB2312" w:eastAsia="仿宋_GB2312" w:cs="仿宋_GB2312"/>
          <w:color w:val="auto"/>
          <w:sz w:val="32"/>
          <w:szCs w:val="32"/>
          <w:lang w:eastAsia="zh-CN"/>
        </w:rPr>
        <w:t>镇（街道）</w:t>
      </w:r>
      <w:r>
        <w:rPr>
          <w:rFonts w:hint="eastAsia" w:ascii="仿宋_GB2312" w:hAnsi="仿宋_GB2312" w:eastAsia="仿宋_GB2312" w:cs="仿宋_GB2312"/>
          <w:color w:val="auto"/>
          <w:sz w:val="32"/>
          <w:szCs w:val="32"/>
        </w:rPr>
        <w:t>供电所管理人员全力参与、重大事项供电公司派员指导”的驻村服务新模式。围绕助力乡村振兴和人民美好生活，开展“乡村电力服务驿站”建设，推进“一村一站”和“十四五”期间全覆盖建设目标，充分结合各乡村经济、人口和农业规模等情况，以村委党群服务中心区域为建设场所，遵循实用、便民、经济的基本原则，将电力驿站建设方案设计三个类型，即独立型、融合型和零碳型，站内设有业务咨询办理、安全用电知识及电力法规政策宣传和多功能服务三大功能区，包括用电查询、网上缴费、业务申请、电力报修等业务，让村民办电不出村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驻村服务点人员由属地台区经理和供电所管理人员组成，一般1－2人，形成网格化服务。每个驻村服务点配置网格长1名，由工作责任心较强、组织协调能力较强的台区经理担任。依托镇电力行政执法办公室、乡村电力服务驿站，建立“村级网格员信息上报、电力网格员接单派单、信息终端结果反馈”的闭环运行机制。实行上报信息等级分类，对发现一般、较大、重大电力安全隐患的，给予相应奖励激励。强化农村安全用电管理，开展用电安全常识、触电急救、电力设施保护知识宣讲，接受用电安全咨询，引导用户做好产权分界点以下隐患缺陷治理，提升农户安全用电意识和自我防范能力。结合日常巡查走访，对网格内年老体弱、孤寡残疾人群用电情况予以重点关注，定期排查电气线路，着重查看用电异常，保障弱势群体生命和财产安全。指导用电客户运用网上国网云终端、网上国网APP线上办理用电业务，实现网上国网云终端行政村全覆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sz w:val="32"/>
          <w:szCs w:val="32"/>
        </w:rPr>
        <w:t>（二）强化农村安全用电管理，夯实安全用电基础。</w:t>
      </w:r>
      <w:r>
        <w:rPr>
          <w:rFonts w:hint="eastAsia" w:ascii="仿宋_GB2312" w:hAnsi="仿宋_GB2312" w:eastAsia="仿宋_GB2312" w:cs="仿宋_GB2312"/>
          <w:color w:val="auto"/>
          <w:sz w:val="32"/>
          <w:szCs w:val="32"/>
        </w:rPr>
        <w:t>着力形成农村用电安全宣传长效机制。组织</w:t>
      </w:r>
      <w:r>
        <w:rPr>
          <w:rFonts w:hint="eastAsia" w:ascii="仿宋_GB2312" w:hAnsi="仿宋_GB2312" w:eastAsia="仿宋_GB2312" w:cs="仿宋_GB2312"/>
          <w:color w:val="auto"/>
          <w:sz w:val="32"/>
          <w:szCs w:val="32"/>
          <w:lang w:eastAsia="zh-CN"/>
        </w:rPr>
        <w:t>镇（街道）</w:t>
      </w:r>
      <w:r>
        <w:rPr>
          <w:rFonts w:hint="eastAsia" w:ascii="仿宋_GB2312" w:hAnsi="仿宋_GB2312" w:eastAsia="仿宋_GB2312" w:cs="仿宋_GB2312"/>
          <w:color w:val="auto"/>
          <w:sz w:val="32"/>
          <w:szCs w:val="32"/>
        </w:rPr>
        <w:t>供电所台区经理、共产党员服务队。常态化深入田间地头、走村入户开展用电安全常识、触电急救、电力设施保护知识宣讲。利用农村集市逢集、民间传统节日，采取摆摊设点等方式向农村用户大力宣传用电安全常识，接受用电安全咨询。在农村中小学生中广泛开展安全用电常识宣传，使中小学生树立安全用电意识，规范安全用电行为，提高自我安全防护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强农村安全用电管理。针对家用剩余电流动作保护器退出运行、拆除、损坏等不规范行为，按照规定向用户发放《家用剩余电流动作保护器整改通知单》，并严格按照发放整改通知、督促用户限期整改，有效减少因家用剩余电流动作保护器私自拆除或退出运行导致剩余电流动作总保护器跳闸、农村低压配电台区大面积停电的机率，确保农村居民可靠用电。指导用户做好产权分界点以下隐患缺陷治理，提升农户安全用电意识和自我防范能力。落实国家农村人居环境整治五年提升行动方案，配合做好农村“三线”违规搭挂治理专项行动，在农村高低压线路通道清理中，采取政府主导，村组参与，供电所推进的协调工作机制，服务美丽乡村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sz w:val="32"/>
          <w:szCs w:val="32"/>
        </w:rPr>
        <w:t>（三）深入实施乡村电气化，服务农村能源服务转型。</w:t>
      </w:r>
      <w:r>
        <w:rPr>
          <w:rFonts w:hint="eastAsia" w:ascii="仿宋_GB2312" w:hAnsi="仿宋_GB2312" w:eastAsia="仿宋_GB2312" w:cs="仿宋_GB2312"/>
          <w:color w:val="auto"/>
          <w:sz w:val="32"/>
          <w:szCs w:val="32"/>
        </w:rPr>
        <w:t>结合特色田园乡村和美丽宜居乡村建设，推动农村电力基础设施提档升级，电网规划与乡村振兴有效衔接。适度超前开展农网工程建设，引导农村地区分布式光伏、生物质发电有序接入，推进低压分布式光伏台区不停电接入、检修，做好分布式光伏并网服务。推动充电网络向农村地区延伸，满足农村居民绿色出行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在农业生产、乡村产业等领域推广新兴电气化技术，推动乡村特色产业全过程电气化，在具备条件的</w:t>
      </w:r>
      <w:r>
        <w:rPr>
          <w:rFonts w:hint="eastAsia" w:ascii="仿宋_GB2312" w:hAnsi="仿宋_GB2312" w:eastAsia="仿宋_GB2312" w:cs="仿宋_GB2312"/>
          <w:color w:val="auto"/>
          <w:sz w:val="32"/>
          <w:szCs w:val="32"/>
          <w:lang w:eastAsia="zh-CN"/>
        </w:rPr>
        <w:t>镇（街道）</w:t>
      </w:r>
      <w:r>
        <w:rPr>
          <w:rFonts w:hint="eastAsia" w:ascii="仿宋_GB2312" w:hAnsi="仿宋_GB2312" w:eastAsia="仿宋_GB2312" w:cs="仿宋_GB2312"/>
          <w:color w:val="auto"/>
          <w:sz w:val="32"/>
          <w:szCs w:val="32"/>
        </w:rPr>
        <w:t>供电所试点成立乡村电气化服务团队，深化</w:t>
      </w:r>
      <w:r>
        <w:rPr>
          <w:rFonts w:hint="eastAsia" w:ascii="仿宋_GB2312" w:hAnsi="仿宋_GB2312" w:eastAsia="仿宋_GB2312" w:cs="仿宋_GB2312"/>
          <w:color w:val="auto"/>
          <w:sz w:val="32"/>
          <w:szCs w:val="32"/>
          <w:lang w:eastAsia="zh-CN"/>
        </w:rPr>
        <w:t>镇（街道）</w:t>
      </w:r>
      <w:r>
        <w:rPr>
          <w:rFonts w:hint="eastAsia" w:ascii="仿宋_GB2312" w:hAnsi="仿宋_GB2312" w:eastAsia="仿宋_GB2312" w:cs="仿宋_GB2312"/>
          <w:color w:val="auto"/>
          <w:sz w:val="32"/>
          <w:szCs w:val="32"/>
        </w:rPr>
        <w:t>综合能源服务站建设，持续开展“百镇千村”电气化村镇建设，打造数量更多、质量更好的乡村电气化项目，推动“电靓乡村绿色生活”系列活动落地。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大力推广新兴电气化技术，拓展“电气化+产业”发展模式，支持帮扶本地产业完善电气基础设施，助力地方特色产业发展，促进富民增收。积极提供综合能源解决方案、新能源汽车推广、全电厨房、电能替代和清洁能源替代等服务，推动绿色发展、循环发展、低碳发展。配合做好农村电力、通信、广播电视“三电”线路整治，提高安全美观水平，建成全省领先的乡村电气化项目，为灌云</w:t>
      </w:r>
      <w:r>
        <w:rPr>
          <w:rFonts w:hint="eastAsia" w:ascii="仿宋_GB2312" w:hAnsi="仿宋_GB2312" w:eastAsia="仿宋_GB2312" w:cs="仿宋_GB2312"/>
          <w:color w:val="auto"/>
          <w:sz w:val="32"/>
          <w:szCs w:val="32"/>
          <w:lang w:val="en-US" w:eastAsia="zh-CN"/>
        </w:rPr>
        <w:t>实现</w:t>
      </w:r>
      <w:r>
        <w:rPr>
          <w:rFonts w:hint="eastAsia" w:ascii="仿宋_GB2312" w:hAnsi="仿宋_GB2312" w:eastAsia="仿宋_GB2312" w:cs="仿宋_GB2312"/>
          <w:color w:val="auto"/>
          <w:sz w:val="32"/>
          <w:szCs w:val="32"/>
        </w:rPr>
        <w:t>乡村振兴作出更大贡献。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sz w:val="32"/>
          <w:szCs w:val="32"/>
        </w:rPr>
        <w:t>（一）强化思想认识、提升政治站位。</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镇（街道）</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有关</w:t>
      </w:r>
      <w:r>
        <w:rPr>
          <w:rFonts w:hint="eastAsia" w:ascii="仿宋_GB2312" w:hAnsi="仿宋_GB2312" w:eastAsia="仿宋_GB2312" w:cs="仿宋_GB2312"/>
          <w:color w:val="auto"/>
          <w:sz w:val="32"/>
          <w:szCs w:val="32"/>
        </w:rPr>
        <w:t>单位要深入贯彻落实习近平总书记关于乡村振兴的重要论述，深刻认识构建农村用电共建共治共享机制的重要意义，统一思想认识，强化责任担当，主动履职尽责，坚定扛起服务地方发展、助力乡村振兴的使命和担当，持续提升服务质效和管理水平，不断增强群众幸福感和满意度。各单位负责同志要亲自部署推动，确保责任落实到位、措施效果到位，增强服务乡村振兴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sz w:val="32"/>
          <w:szCs w:val="32"/>
        </w:rPr>
        <w:t>（二）加强工作统筹，抓好任务落实。</w:t>
      </w:r>
      <w:r>
        <w:rPr>
          <w:rFonts w:hint="eastAsia" w:ascii="仿宋_GB2312" w:hAnsi="仿宋_GB2312" w:eastAsia="仿宋_GB2312" w:cs="仿宋_GB2312"/>
          <w:color w:val="auto"/>
          <w:sz w:val="32"/>
          <w:szCs w:val="32"/>
        </w:rPr>
        <w:t>各单位要将农村用电共建共治共享机制建设与服务乡村振兴、提高服务“三农”质量、提升乡村综合治理和农村安全用电水平紧密结合，密切关注农民生产生活方式在新时期、新形势和新能源转型条件下的新变化。各</w:t>
      </w:r>
      <w:r>
        <w:rPr>
          <w:rFonts w:hint="eastAsia" w:ascii="仿宋_GB2312" w:hAnsi="仿宋_GB2312" w:eastAsia="仿宋_GB2312" w:cs="仿宋_GB2312"/>
          <w:color w:val="auto"/>
          <w:sz w:val="32"/>
          <w:szCs w:val="32"/>
          <w:lang w:eastAsia="zh-CN"/>
        </w:rPr>
        <w:t>镇（街道）</w:t>
      </w:r>
      <w:r>
        <w:rPr>
          <w:rFonts w:hint="eastAsia" w:ascii="仿宋_GB2312" w:hAnsi="仿宋_GB2312" w:eastAsia="仿宋_GB2312" w:cs="仿宋_GB2312"/>
          <w:color w:val="auto"/>
          <w:sz w:val="32"/>
          <w:szCs w:val="32"/>
        </w:rPr>
        <w:t>、各单位主要负责同志为第一责任人，要发挥牵头抓总作用，亲自部署、亲自推动，不断创新服务方式，丰富服务内容，了解掌握推进情况，协调解决重难点问题，满足农村群众美好生活新需求。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val="0"/>
          <w:bCs/>
          <w:color w:val="auto"/>
          <w:sz w:val="32"/>
          <w:szCs w:val="32"/>
        </w:rPr>
        <w:t>（三）积极主动作为、跟进指导服务。</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街道）供电所要结合意见内容，准确把握核心要义，跟进乡村电力服务驿站建设、农村安全用电管理、服务农村能源服务转型等各项重点工作任务，做好相关业务指导。围绕重点工作推进实施，加大宣传力度、提供优质服务、强化技术支持，确保农村用电共建共治共享机制落地落实。</w:t>
      </w:r>
    </w:p>
    <w:p>
      <w:pPr>
        <w:spacing w:line="540" w:lineRule="exact"/>
        <w:jc w:val="right"/>
        <w:rPr>
          <w:rFonts w:ascii="Times New Roman" w:hAnsi="Times New Roman" w:eastAsia="仿宋_GB2312" w:cs="Times New Roman"/>
          <w:sz w:val="32"/>
          <w:szCs w:val="32"/>
        </w:rPr>
      </w:pPr>
    </w:p>
    <w:p>
      <w:pPr>
        <w:spacing w:line="540" w:lineRule="exact"/>
        <w:jc w:val="right"/>
        <w:rPr>
          <w:rFonts w:ascii="Times New Roman" w:hAnsi="Times New Roman" w:eastAsia="仿宋_GB2312" w:cs="Times New Roman"/>
          <w:sz w:val="32"/>
          <w:szCs w:val="32"/>
        </w:rPr>
      </w:pPr>
    </w:p>
    <w:p>
      <w:pPr>
        <w:rPr>
          <w:rFonts w:eastAsia="仿宋_GB2312"/>
          <w:color w:val="000000"/>
          <w:sz w:val="28"/>
          <w:szCs w:val="28"/>
        </w:rPr>
      </w:pPr>
    </w:p>
    <w:p>
      <w:pPr>
        <w:rPr>
          <w:rFonts w:eastAsia="仿宋_GB2312"/>
          <w:color w:val="000000"/>
          <w:sz w:val="28"/>
          <w:szCs w:val="28"/>
        </w:rPr>
      </w:pPr>
    </w:p>
    <w:p>
      <w:pPr>
        <w:rPr>
          <w:rFonts w:eastAsia="仿宋_GB2312"/>
          <w:color w:val="000000"/>
          <w:sz w:val="28"/>
          <w:szCs w:val="28"/>
        </w:rPr>
      </w:pPr>
    </w:p>
    <w:p>
      <w:pPr>
        <w:rPr>
          <w:rFonts w:eastAsia="仿宋_GB2312"/>
          <w:color w:val="000000"/>
          <w:sz w:val="28"/>
          <w:szCs w:val="28"/>
        </w:rPr>
      </w:pPr>
    </w:p>
    <w:p>
      <w:pPr>
        <w:rPr>
          <w:rFonts w:ascii="Times New Roman" w:hAnsi="Times New Roman" w:eastAsia="仿宋_GB2312" w:cs="Times New Roman"/>
          <w:sz w:val="32"/>
          <w:szCs w:val="32"/>
        </w:rPr>
        <w:sectPr>
          <w:footerReference r:id="rId3" w:type="default"/>
          <w:pgSz w:w="11906" w:h="16838"/>
          <w:pgMar w:top="1701" w:right="1531" w:bottom="1984" w:left="1531" w:header="851" w:footer="992" w:gutter="0"/>
          <w:pgNumType w:fmt="decimal"/>
          <w:cols w:space="425" w:num="1"/>
          <w:docGrid w:type="lines" w:linePitch="312" w:charSpace="0"/>
        </w:sect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374015</wp:posOffset>
                </wp:positionV>
                <wp:extent cx="5579745" cy="0"/>
                <wp:effectExtent l="0" t="0" r="0" b="0"/>
                <wp:wrapNone/>
                <wp:docPr id="3" name="直线 7"/>
                <wp:cNvGraphicFramePr/>
                <a:graphic xmlns:a="http://schemas.openxmlformats.org/drawingml/2006/main">
                  <a:graphicData uri="http://schemas.microsoft.com/office/word/2010/wordprocessingShape">
                    <wps:wsp>
                      <wps:cNvCnPr/>
                      <wps:spPr>
                        <a:xfrm>
                          <a:off x="0" y="0"/>
                          <a:ext cx="557974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29.45pt;height:0pt;width:439.35pt;z-index:251661312;mso-width-relative:page;mso-height-relative:page;" filled="f" stroked="t" coordsize="21600,21600" o:gfxdata="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WbvBrUAAAA&#10;BgEAAA8AAAAAAAAAAQAgAAAAIgAAAGRycy9kb3ducmV2LnhtbFBLAQIUABQAAAAIAIdO4kD3eExA&#10;6AEAANsDAAAOAAAAAAAAAAEAIAAAACM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48260</wp:posOffset>
                </wp:positionV>
                <wp:extent cx="5579745" cy="0"/>
                <wp:effectExtent l="0" t="0" r="0" b="0"/>
                <wp:wrapNone/>
                <wp:docPr id="6" name="直线 8"/>
                <wp:cNvGraphicFramePr/>
                <a:graphic xmlns:a="http://schemas.openxmlformats.org/drawingml/2006/main">
                  <a:graphicData uri="http://schemas.microsoft.com/office/word/2010/wordprocessingShape">
                    <wps:wsp>
                      <wps:cNvCnPr/>
                      <wps:spPr>
                        <a:xfrm>
                          <a:off x="0" y="0"/>
                          <a:ext cx="557974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3.8pt;height:0pt;width:439.35pt;z-index:251662336;mso-width-relative:page;mso-height-relative:page;" filled="f" stroked="t" coordsize="21600,21600" o:gfxdata="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urzuX0gAAAAQB&#10;AAAPAAAAAAAAAAEAIAAAACIAAABkcnMvZG93bnJldi54bWxQSwECFAAUAAAACACHTuJAl0oosugB&#10;AADbAwAADgAAAAAAAAABACAAAAAhAQAAZHJzL2Uyb0RvYy54bWxQSwUGAAAAAAYABgBZAQAAewUA&#10;AAAA&#10;">
                <v:fill on="f" focussize="0,0"/>
                <v:stroke color="#000000" joinstyle="round"/>
                <v:imagedata o:title=""/>
                <o:lock v:ext="edit" aspectratio="f"/>
              </v:line>
            </w:pict>
          </mc:Fallback>
        </mc:AlternateContent>
      </w:r>
      <w:r>
        <w:rPr>
          <w:rFonts w:eastAsia="仿宋_GB2312"/>
          <w:color w:val="000000"/>
          <w:sz w:val="28"/>
          <w:szCs w:val="28"/>
        </w:rPr>
        <w:t>  </w:t>
      </w:r>
      <w:r>
        <w:rPr>
          <w:rFonts w:hint="eastAsia" w:eastAsia="仿宋_GB2312"/>
          <w:color w:val="000000"/>
          <w:sz w:val="28"/>
          <w:szCs w:val="28"/>
        </w:rPr>
        <w:t>灌云县乡村振兴工作领导小组</w:t>
      </w:r>
      <w:r>
        <w:rPr>
          <w:rFonts w:hint="eastAsia" w:eastAsia="仿宋_GB2312"/>
          <w:color w:val="000000"/>
          <w:sz w:val="28"/>
          <w:szCs w:val="28"/>
          <w:lang w:val="en-US" w:eastAsia="zh-CN"/>
        </w:rPr>
        <w:t>办公室</w:t>
      </w:r>
      <w:r>
        <w:rPr>
          <w:rFonts w:eastAsia="仿宋_GB2312"/>
          <w:color w:val="000000"/>
          <w:sz w:val="28"/>
          <w:szCs w:val="28"/>
        </w:rPr>
        <w:t xml:space="preserve">          </w:t>
      </w:r>
      <w:r>
        <w:rPr>
          <w:rFonts w:hint="default" w:ascii="Times New Roman" w:hAnsi="Times New Roman" w:eastAsia="仿宋_GB2312" w:cs="Times New Roman"/>
          <w:color w:val="000000"/>
          <w:sz w:val="28"/>
          <w:szCs w:val="28"/>
          <w:lang w:eastAsia="zh-CN"/>
        </w:rPr>
        <w:t>202</w:t>
      </w:r>
      <w:r>
        <w:rPr>
          <w:rFonts w:hint="default" w:ascii="Times New Roman" w:hAnsi="Times New Roman" w:eastAsia="仿宋_GB2312" w:cs="Times New Roman"/>
          <w:color w:val="000000"/>
          <w:sz w:val="28"/>
          <w:szCs w:val="28"/>
          <w:lang w:val="en-US" w:eastAsia="zh-CN"/>
        </w:rPr>
        <w:t>2</w:t>
      </w:r>
      <w:r>
        <w:rPr>
          <w:rFonts w:hint="eastAsia" w:eastAsia="仿宋_GB2312"/>
          <w:color w:val="000000"/>
          <w:sz w:val="28"/>
          <w:szCs w:val="28"/>
        </w:rPr>
        <w:t>年</w:t>
      </w:r>
      <w:r>
        <w:rPr>
          <w:rFonts w:hint="eastAsia" w:ascii="Times New Roman" w:hAnsi="Times New Roman" w:eastAsia="仿宋_GB2312" w:cs="Times New Roman"/>
          <w:color w:val="000000"/>
          <w:sz w:val="28"/>
          <w:szCs w:val="28"/>
          <w:lang w:val="en-US" w:eastAsia="zh-CN"/>
        </w:rPr>
        <w:t>8</w:t>
      </w:r>
      <w:r>
        <w:rPr>
          <w:rFonts w:hint="eastAsia" w:eastAsia="仿宋_GB2312"/>
          <w:color w:val="000000"/>
          <w:sz w:val="28"/>
          <w:szCs w:val="28"/>
        </w:rPr>
        <w:t>月</w:t>
      </w:r>
      <w:r>
        <w:rPr>
          <w:rFonts w:hint="eastAsia" w:ascii="Times New Roman" w:hAnsi="Times New Roman" w:eastAsia="仿宋_GB2312" w:cs="Times New Roman"/>
          <w:color w:val="000000"/>
          <w:sz w:val="28"/>
          <w:szCs w:val="28"/>
          <w:lang w:val="en-US" w:eastAsia="zh-CN"/>
        </w:rPr>
        <w:t>24</w:t>
      </w:r>
      <w:r>
        <w:rPr>
          <w:rFonts w:hint="eastAsia" w:eastAsia="仿宋_GB2312"/>
          <w:color w:val="000000"/>
          <w:sz w:val="28"/>
          <w:szCs w:val="28"/>
        </w:rPr>
        <w:t>日印</w:t>
      </w:r>
    </w:p>
    <w:p>
      <w:pPr>
        <w:spacing w:line="540" w:lineRule="exact"/>
        <w:jc w:val="both"/>
        <w:rPr>
          <w:rFonts w:ascii="Times New Roman" w:hAnsi="Times New Roman" w:eastAsia="仿宋_GB2312" w:cs="Times New Roman"/>
          <w:sz w:val="32"/>
          <w:szCs w:val="32"/>
        </w:rPr>
        <w:sectPr>
          <w:footerReference r:id="rId4" w:type="default"/>
          <w:pgSz w:w="11906" w:h="16838"/>
          <w:pgMar w:top="1701" w:right="1531" w:bottom="1984" w:left="1531" w:header="851" w:footer="992" w:gutter="0"/>
          <w:pgNumType w:fmt="decimal"/>
          <w:cols w:space="425" w:num="1"/>
          <w:docGrid w:type="lines" w:linePitch="312" w:charSpace="0"/>
        </w:sectPr>
      </w:pPr>
    </w:p>
    <w:p>
      <w:pPr>
        <w:spacing w:line="540" w:lineRule="exact"/>
        <w:jc w:val="both"/>
        <w:rPr>
          <w:rFonts w:ascii="Times New Roman" w:hAnsi="Times New Roman" w:eastAsia="仿宋_GB2312" w:cs="Times New Roman"/>
          <w:sz w:val="32"/>
          <w:szCs w:val="32"/>
        </w:rPr>
      </w:pPr>
    </w:p>
    <w:p>
      <w:pPr>
        <w:pStyle w:val="2"/>
      </w:pPr>
      <w:bookmarkStart w:id="0" w:name="_GoBack"/>
      <w:bookmarkEnd w:id="0"/>
    </w:p>
    <w:sectPr>
      <w:footerReference r:id="rId5" w:type="default"/>
      <w:pgSz w:w="11906" w:h="16838"/>
      <w:pgMar w:top="1701"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NzE4ZGQ2ODIyMGNhMGFmNzY2MmJiZDRjZWYyOTUifQ=="/>
  </w:docVars>
  <w:rsids>
    <w:rsidRoot w:val="009A6C7B"/>
    <w:rsid w:val="00022032"/>
    <w:rsid w:val="00031596"/>
    <w:rsid w:val="000355B5"/>
    <w:rsid w:val="00144985"/>
    <w:rsid w:val="00172C63"/>
    <w:rsid w:val="001F34B1"/>
    <w:rsid w:val="00223DEF"/>
    <w:rsid w:val="002A757D"/>
    <w:rsid w:val="003265DC"/>
    <w:rsid w:val="005F3FEA"/>
    <w:rsid w:val="00694EF0"/>
    <w:rsid w:val="006B161F"/>
    <w:rsid w:val="006E158E"/>
    <w:rsid w:val="007270F9"/>
    <w:rsid w:val="00727C8B"/>
    <w:rsid w:val="007368D9"/>
    <w:rsid w:val="007721E4"/>
    <w:rsid w:val="008C2B63"/>
    <w:rsid w:val="008D4739"/>
    <w:rsid w:val="00913055"/>
    <w:rsid w:val="009A6C7B"/>
    <w:rsid w:val="009D3607"/>
    <w:rsid w:val="00B0156A"/>
    <w:rsid w:val="00B27678"/>
    <w:rsid w:val="00B33A70"/>
    <w:rsid w:val="00B83D2F"/>
    <w:rsid w:val="00BD5EBB"/>
    <w:rsid w:val="00BF1BC7"/>
    <w:rsid w:val="00C40E93"/>
    <w:rsid w:val="00C55BDF"/>
    <w:rsid w:val="00D440CF"/>
    <w:rsid w:val="00D5451A"/>
    <w:rsid w:val="00D80E10"/>
    <w:rsid w:val="00DC6CFC"/>
    <w:rsid w:val="00DE4B67"/>
    <w:rsid w:val="00E615B6"/>
    <w:rsid w:val="00EF1E1B"/>
    <w:rsid w:val="00EF315C"/>
    <w:rsid w:val="00F41245"/>
    <w:rsid w:val="120427CB"/>
    <w:rsid w:val="18644328"/>
    <w:rsid w:val="23FE2254"/>
    <w:rsid w:val="4F4B0A03"/>
    <w:rsid w:val="52D05923"/>
    <w:rsid w:val="60954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国家电网公司</Company>
  <Pages>9</Pages>
  <Words>3137</Words>
  <Characters>3161</Characters>
  <Lines>21</Lines>
  <Paragraphs>6</Paragraphs>
  <TotalTime>1</TotalTime>
  <ScaleCrop>false</ScaleCrop>
  <LinksUpToDate>false</LinksUpToDate>
  <CharactersWithSpaces>3195</CharactersWithSpaces>
  <Application>WPS Office_11.1.0.12349_F1E327BC-269C-435d-A152-05C5408002CA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2022-08-24T01:13:00Z</dcterms:created>
  <dc:creator>李振兵</dc:creator>
  <cp:lastModifiedBy>Administrator</cp:lastModifiedBy>
  <cp:lastPrinted>2022-08-26T02:28:00Z</cp:lastPrinted>
  <dcterms:modified xsi:type="dcterms:W3CDTF">2022-09-21T02:56:25Z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2052-11.1.0.12349</vt:lpwstr>
  </property>
  <property fmtid="{D5CDD505-2E9C-101B-9397-08002B2CF9AE}" pid="3" name="ICV">
    <vt:lpwstr>A9C17F901D3D417C95A1A485AD1944DD</vt:lpwstr>
  </property>
</Properties>
</file>