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210" w:beforeAutospacing="0" w:after="210" w:afterAutospacing="0" w:line="540" w:lineRule="exact"/>
        <w:ind w:left="-315" w:leftChars="-150" w:right="-315" w:rightChars="-150"/>
        <w:jc w:val="center"/>
        <w:textAlignment w:val="top"/>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灌云县民政局轻微违法行为不予行政处罚、减轻行政处罚清单</w:t>
      </w:r>
    </w:p>
    <w:bookmarkEnd w:id="0"/>
    <w:tbl>
      <w:tblPr>
        <w:tblStyle w:val="5"/>
        <w:tblW w:w="15633" w:type="dxa"/>
        <w:jc w:val="center"/>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
      <w:tblGrid>
        <w:gridCol w:w="928"/>
        <w:gridCol w:w="2560"/>
        <w:gridCol w:w="1896"/>
        <w:gridCol w:w="8393"/>
        <w:gridCol w:w="928"/>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73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违法行为（列举）</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不予处罚条件</w:t>
            </w:r>
          </w:p>
        </w:tc>
        <w:tc>
          <w:tcPr>
            <w:tcW w:w="8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法律依据</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实施主体</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3399" w:hRule="atLeast"/>
          <w:jc w:val="center"/>
        </w:trPr>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对擅自进行地名命名、更名的处罚</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首次擅自进行地名命名、更名的</w:t>
            </w:r>
          </w:p>
        </w:tc>
        <w:tc>
          <w:tcPr>
            <w:tcW w:w="8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【地方性法规】《江苏省地名管理条例》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第十三条 地名的命名、更名，应当按照规定的程序进行申报与办理。任何单位和个人不得擅自命名、更名。</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第十四条 自然地理实体名称的命名、更名，按照下列权限办理：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（二）涉及本省两个以上设区的市的自然地理实体名称，由相关设区的市人民政府协商一致后，报省人民政府批准；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第四十五条 违反本条例第十三条规定，擅自对地名命名、更名的，由地名主管部门或者专业主管部门责令限期改正，并可以处二千元以上一万元以下罚款；情节严重的，处一万元以上三万元以下罚款。</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灌云县民政局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灌云县民政局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1981" w:hRule="atLeast"/>
          <w:jc w:val="center"/>
        </w:trPr>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对擅自编制行政区域界线详图，或者绘制的地图的行政区域界线的画法与行政区域界线详图的画法不一致的处罚</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首次擅自编制行政区域界线详图的，没收违法所得，免于罚款</w:t>
            </w:r>
          </w:p>
        </w:tc>
        <w:tc>
          <w:tcPr>
            <w:tcW w:w="83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【行政法规】《行政区域界线管理条例》（国务院令第353号）</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firstLine="440" w:firstLineChars="2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灌云县民政局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灌云县民政局</w:t>
            </w:r>
          </w:p>
        </w:tc>
      </w:tr>
    </w:tbl>
    <w:p>
      <w:pPr>
        <w:keepNext w:val="0"/>
        <w:keepLines w:val="0"/>
        <w:pageBreakBefore w:val="0"/>
        <w:widowControl/>
        <w:suppressLineNumbers w:val="0"/>
        <w:kinsoku/>
        <w:overflowPunct/>
        <w:topLinePunct w:val="0"/>
        <w:autoSpaceDE/>
        <w:autoSpaceDN/>
        <w:bidi w:val="0"/>
        <w:adjustRightInd w:val="0"/>
        <w:snapToGrid w:val="0"/>
        <w:spacing w:line="540" w:lineRule="exact"/>
        <w:ind w:right="-315" w:rightChars="-15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p>
    <w:tbl>
      <w:tblPr>
        <w:tblStyle w:val="5"/>
        <w:tblW w:w="15633" w:type="dxa"/>
        <w:jc w:val="center"/>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
      <w:tblGrid>
        <w:gridCol w:w="928"/>
        <w:gridCol w:w="2218"/>
        <w:gridCol w:w="2169"/>
        <w:gridCol w:w="8462"/>
        <w:gridCol w:w="928"/>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743" w:hRule="atLeast"/>
          <w:jc w:val="center"/>
        </w:trPr>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违法行为（列举）</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减轻处罚条件</w:t>
            </w:r>
          </w:p>
        </w:tc>
        <w:tc>
          <w:tcPr>
            <w:tcW w:w="8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法律依据</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实施主体</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2781" w:hRule="atLeast"/>
          <w:jc w:val="center"/>
        </w:trPr>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对社会团体申请登记时弄虚作假，骗取登记的，或者自取得《社会团体法人登记证书》之日起1年未开展活动的</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主动开展正常工作，并减轻因《社会团体法人登记证书》发证之日起1年未开展活动的违法行为的危害后果</w:t>
            </w:r>
          </w:p>
        </w:tc>
        <w:tc>
          <w:tcPr>
            <w:tcW w:w="8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【行政法规】《社会团体登记管理条例》</w:t>
            </w:r>
            <w:r>
              <w:rPr>
                <w:rFonts w:hint="eastAsia" w:ascii="Times New Roman" w:hAnsi="Times New Roman"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国务院令第250号</w:t>
            </w:r>
            <w:r>
              <w:rPr>
                <w:rFonts w:hint="eastAsia" w:ascii="Times New Roman" w:hAnsi="Times New Roman" w:cs="Times New Roman"/>
                <w:i w:val="0"/>
                <w:iCs w:val="0"/>
                <w:color w:val="000000"/>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firstLine="440" w:firstLineChars="20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第二十九条  社会团体在申请登记时弄虚作假，骗取登记的，或者自取得《社会团体法人登记证书》之日起１年未开展活动的，由登记管理机关予以撤销登记。                                   </w:t>
            </w:r>
            <w:r>
              <w:rPr>
                <w:rFonts w:hint="eastAsia" w:ascii="Times New Roman" w:hAnsi="Times New Roman" w:eastAsia="宋体" w:cs="Times New Roman"/>
                <w:b/>
                <w:bCs/>
                <w:i w:val="0"/>
                <w:iCs w:val="0"/>
                <w:color w:val="000000"/>
                <w:kern w:val="0"/>
                <w:sz w:val="22"/>
                <w:szCs w:val="22"/>
                <w:u w:val="none"/>
                <w:lang w:val="en-US" w:eastAsia="zh-CN" w:bidi="ar"/>
              </w:rPr>
              <w:t>从轻处罚依据：</w:t>
            </w:r>
            <w:r>
              <w:rPr>
                <w:rFonts w:hint="eastAsia" w:ascii="Times New Roman" w:hAnsi="Times New Roman" w:eastAsia="宋体" w:cs="Times New Roman"/>
                <w:i w:val="0"/>
                <w:iCs w:val="0"/>
                <w:color w:val="000000"/>
                <w:kern w:val="0"/>
                <w:sz w:val="22"/>
                <w:szCs w:val="22"/>
                <w:u w:val="none"/>
                <w:lang w:val="en-US" w:eastAsia="zh-CN" w:bidi="ar"/>
              </w:rPr>
              <w:t>《行政处罚法》第三十三条违 法行为轻微并及时改正，没有造成危害后果的，不</w:t>
            </w:r>
            <w:r>
              <w:rPr>
                <w:rFonts w:hint="eastAsia" w:ascii="Times New Roman" w:hAnsi="Times New Roman"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i w:val="0"/>
                <w:iCs w:val="0"/>
                <w:color w:val="000000"/>
                <w:kern w:val="0"/>
                <w:sz w:val="22"/>
                <w:szCs w:val="22"/>
                <w:u w:val="none"/>
                <w:lang w:val="en-US" w:eastAsia="zh-CN" w:bidi="ar"/>
              </w:rPr>
              <w:t>予行政处罚。初次违法且危害后果轻微并及时改正的，可以不予行政处罚。</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780" w:hRule="atLeast"/>
          <w:jc w:val="center"/>
        </w:trPr>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对未经登记以及被撤销登记的县属民办非企业单位，擅自以及继续以县属民办非企业单位名义进行活动的</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主动停止并消除或者减轻因擅自以及继续以县属民办非企业单位名义进行活动违法活动后果</w:t>
            </w:r>
          </w:p>
        </w:tc>
        <w:tc>
          <w:tcPr>
            <w:tcW w:w="8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【行政法规】《民办非企业单位登记管理暂行条例》</w:t>
            </w:r>
            <w:r>
              <w:rPr>
                <w:rFonts w:hint="eastAsia" w:ascii="Times New Roman" w:hAnsi="Times New Roman"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国务院令第251号</w:t>
            </w:r>
            <w:r>
              <w:rPr>
                <w:rFonts w:hint="eastAsia" w:ascii="Times New Roman" w:hAnsi="Times New Roman" w:cs="Times New Roman"/>
                <w:i w:val="0"/>
                <w:iCs w:val="0"/>
                <w:color w:val="000000"/>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firstLine="440" w:firstLineChars="20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【规章】《取缔非法民间组织暂行办法》（民政部令第21号）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firstLine="440" w:firstLineChars="20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第三条  社会团体和民办非企业单位登记管理机关（以下统称登记管理机关）负责对非法民间组织进行调查，收集有关证据，依法作出取缔决定，没收其非法财产。</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从轻处罚依据：</w:t>
            </w:r>
            <w:r>
              <w:rPr>
                <w:rFonts w:hint="eastAsia" w:ascii="Times New Roman" w:hAnsi="Times New Roman" w:eastAsia="宋体" w:cs="Times New Roman"/>
                <w:i w:val="0"/>
                <w:iCs w:val="0"/>
                <w:color w:val="000000"/>
                <w:kern w:val="0"/>
                <w:sz w:val="22"/>
                <w:szCs w:val="22"/>
                <w:u w:val="none"/>
                <w:lang w:val="en-US" w:eastAsia="zh-CN" w:bidi="ar"/>
              </w:rPr>
              <w:t>《行政处罚法》第三十三条违 法行为轻微并及时改正，没有造成危害后果的，不予行政处罚。初次违法且危害后果轻微 并及时改正的，可以不予行政处罚。</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1004" w:hRule="atLeast"/>
          <w:jc w:val="center"/>
        </w:trPr>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违法行为（列举）</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减轻处罚条件</w:t>
            </w:r>
          </w:p>
        </w:tc>
        <w:tc>
          <w:tcPr>
            <w:tcW w:w="8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法律依据</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实施主体</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4079" w:hRule="atLeast"/>
          <w:jc w:val="center"/>
        </w:trPr>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对筹备期间开展筹备以外活动、未经登记，擅自以社会团体名义进行活动、被撤销登记的社会团体继续以社会团体名义进行活动的</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主动停止以及主动消除或者减轻对筹备期间开展筹备以外的活动，未经登记，擅自以社会团体名义进行活动、被撤销登记的社会团体继续以社会团体名义进行违法活动危害后果</w:t>
            </w:r>
          </w:p>
        </w:tc>
        <w:tc>
          <w:tcPr>
            <w:tcW w:w="8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【行政法规】《社会团体登记管理条例》</w:t>
            </w:r>
            <w:r>
              <w:rPr>
                <w:rFonts w:hint="eastAsia" w:ascii="Times New Roman" w:hAnsi="Times New Roman"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国务院令第250号</w:t>
            </w:r>
            <w:r>
              <w:rPr>
                <w:rFonts w:hint="eastAsia" w:ascii="Times New Roman" w:hAnsi="Times New Roman" w:cs="Times New Roman"/>
                <w:i w:val="0"/>
                <w:iCs w:val="0"/>
                <w:color w:val="000000"/>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firstLine="440" w:firstLineChars="20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【规章】《取缔非法民间组织暂行办法》（民政部令第21号）</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firstLine="440" w:firstLineChars="20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社会团体和民办非企业单位登记管理机关（以下统称登记管理机关）负责对非法民间组织进行调查，收集有关证据，依法作出取缔决定，没收其非法财产。</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从轻处罚依据：</w:t>
            </w:r>
            <w:r>
              <w:rPr>
                <w:rFonts w:hint="eastAsia" w:ascii="Times New Roman" w:hAnsi="Times New Roman" w:eastAsia="宋体" w:cs="Times New Roman"/>
                <w:i w:val="0"/>
                <w:iCs w:val="0"/>
                <w:color w:val="000000"/>
                <w:kern w:val="0"/>
                <w:sz w:val="22"/>
                <w:szCs w:val="22"/>
                <w:u w:val="none"/>
                <w:lang w:val="en-US" w:eastAsia="zh-CN" w:bidi="ar"/>
              </w:rPr>
              <w:t>《行政处罚法》第三十三条违 法行为轻微并及时改正，没有造成危害后果的，不予行政处罚。初次违法且危害后果轻微并及时改正的，可以不予行政处罚。</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r>
    </w:tbl>
    <w:p>
      <w:pPr>
        <w:keepNext w:val="0"/>
        <w:keepLines w:val="0"/>
        <w:pageBreakBefore w:val="0"/>
        <w:widowControl/>
        <w:suppressLineNumbers w:val="0"/>
        <w:kinsoku/>
        <w:overflowPunct/>
        <w:topLinePunct w:val="0"/>
        <w:autoSpaceDE/>
        <w:autoSpaceDN/>
        <w:bidi w:val="0"/>
        <w:adjustRightInd w:val="0"/>
        <w:snapToGrid w:val="0"/>
        <w:spacing w:line="540" w:lineRule="exact"/>
        <w:ind w:left="-315" w:leftChars="-150" w:right="-315" w:rightChars="-150"/>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br w:type="page"/>
      </w:r>
    </w:p>
    <w:tbl>
      <w:tblPr>
        <w:tblStyle w:val="5"/>
        <w:tblW w:w="16148" w:type="dxa"/>
        <w:jc w:val="center"/>
        <w:tblInd w:w="-3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
      <w:tblGrid>
        <w:gridCol w:w="926"/>
        <w:gridCol w:w="2506"/>
        <w:gridCol w:w="2160"/>
        <w:gridCol w:w="8700"/>
        <w:gridCol w:w="928"/>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04" w:hRule="atLeast"/>
          <w:jc w:val="center"/>
        </w:trPr>
        <w:tc>
          <w:tcPr>
            <w:tcW w:w="9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违法行为（列举）</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不予处罚的情形</w:t>
            </w:r>
          </w:p>
        </w:tc>
        <w:tc>
          <w:tcPr>
            <w:tcW w:w="8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法律依据</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实施主体</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4079" w:hRule="atLeast"/>
          <w:jc w:val="center"/>
        </w:trPr>
        <w:tc>
          <w:tcPr>
            <w:tcW w:w="9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7</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对擅自兴建殡葬设施的处罚</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当事人首次违反，主动配合行政机关查处，主动拆除违法殡葬设施，未造成危害后果的。</w:t>
            </w:r>
          </w:p>
        </w:tc>
        <w:tc>
          <w:tcPr>
            <w:tcW w:w="8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【行政法规】《殡葬管理条例》（国务院令第225号发布，第628号修正）</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 xml:space="preserve">    第十八条  未经批准，擅自兴建殡葬设施的，由民政部门会同建设、土地行政管理部门予以取缔，责令恢复原状，没收违法所得，可以并处违法所得1倍以上3倍以下的罚款。</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 xml:space="preserve">【规章】《江苏省殡葬管理办法》（省政府令2000年第169号发布，2012年第81号公布）                          </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 xml:space="preserve">    第二十五条  未经批准，擅自建设殡仪馆、经营性公墓、经营性骨灰堂等殡葬设施的，由民政部门会同建设、土地行政管理部门责令限期改正，没收违法所得，可以并处违法所得1倍以上3倍以下罚款；非法占地建设殡葬设施或者擅自改变殡葬设施用地性质的，按照土地管理法律、法规的规定处罚。</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灌云县民政局、灌云县自然资源和规划局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灌云县民政局、灌云县自然资源和规划局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2466" w:hRule="atLeast"/>
          <w:jc w:val="center"/>
        </w:trPr>
        <w:tc>
          <w:tcPr>
            <w:tcW w:w="9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对墓穴占地面积超过省、自治区、直辖市人民政府规定的标准的处罚</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当事人首次违反，主动配合行政机关查处，主动拆除超面积违法殡葬设施，未造成危害后果的。</w:t>
            </w:r>
          </w:p>
        </w:tc>
        <w:tc>
          <w:tcPr>
            <w:tcW w:w="8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【行政法规】《殡葬管理条例》（国务院令第225号发布，第628号修正）</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 xml:space="preserve">    第十九条  墓穴占地面积超过省、自治区、直辖市人民政府规定的标准的，由民政部门责令限期改正，没收违法所得，可以并处违法所得1倍以上3倍以下的罚款。</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1004" w:hRule="atLeast"/>
          <w:jc w:val="center"/>
        </w:trPr>
        <w:tc>
          <w:tcPr>
            <w:tcW w:w="9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违法行为（列举）</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不予处罚的情形</w:t>
            </w:r>
          </w:p>
        </w:tc>
        <w:tc>
          <w:tcPr>
            <w:tcW w:w="8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法律依据</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实施主体</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4" w:type="dxa"/>
            <w:bottom w:w="0" w:type="dxa"/>
            <w:right w:w="454" w:type="dxa"/>
          </w:tblCellMar>
        </w:tblPrEx>
        <w:trPr>
          <w:trHeight w:val="4079" w:hRule="atLeast"/>
          <w:jc w:val="center"/>
        </w:trPr>
        <w:tc>
          <w:tcPr>
            <w:tcW w:w="9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对养老机构未按规范和标准要求管理和服务的处罚</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对养老机构首次未按规范和标准要求管理和服务的。</w:t>
            </w:r>
          </w:p>
        </w:tc>
        <w:tc>
          <w:tcPr>
            <w:tcW w:w="8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【规章】《养老机构管理办法》（民政部令第66号）</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 xml:space="preserve">    第四十六条 养老机构有下列行为之一的，由民政部门责令改正，给予警告；情节严重的，处以3万元以下的罚款：</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（一）未建立入院评估制度或者未按照规定开展评估活动的；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（二）未与老年人或者其代理人签订服务协议，或者未按照协议约定提供服务的；</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（三）未按照有关强制性国家标准提供服务的；</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（四）工作人员的资格不符合规定的；</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（五）利用养老机构的房屋、场地、设施开展与养老服务宗旨无关的活动的；</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（六）未依照本办法规定预防和处置突发事件的；</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（七）歧视、侮辱、虐待老年人以及其他侵害老年人人身和财产权益行为的；</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（八）向负责监督检查的民政部门隐瞒有关情况、提供虚假材料或者拒绝提供反映其活动情况真实材料的；</w:t>
            </w:r>
            <w:r>
              <w:rPr>
                <w:rFonts w:hint="eastAsia"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（九）法律、法规、规章规定的其他违法行为。养老机构及其工作人员违反本办法有关规定，构成违反治安管理行为的，依法给予治安管理处罚；构成犯罪的，依法追究刑事责任。</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315" w:leftChars="-150" w:right="-315" w:rightChars="-15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灌云县民政局</w:t>
            </w:r>
          </w:p>
        </w:tc>
      </w:tr>
    </w:tbl>
    <w:p>
      <w:pPr>
        <w:rPr>
          <w:rFonts w:hint="default"/>
          <w:lang w:val="en-US" w:eastAsia="zh-CN"/>
        </w:rPr>
      </w:pPr>
    </w:p>
    <w:p>
      <w:pPr>
        <w:widowControl/>
        <w:kinsoku w:val="0"/>
        <w:autoSpaceDE w:val="0"/>
        <w:autoSpaceDN w:val="0"/>
        <w:adjustRightInd w:val="0"/>
        <w:snapToGrid w:val="0"/>
        <w:spacing w:before="240" w:line="178" w:lineRule="auto"/>
        <w:ind w:left="2137"/>
        <w:jc w:val="left"/>
        <w:textAlignment w:val="baseline"/>
        <w:rPr>
          <w:rFonts w:ascii="微软雅黑" w:hAnsi="微软雅黑" w:eastAsia="微软雅黑" w:cs="微软雅黑"/>
          <w:snapToGrid w:val="0"/>
          <w:color w:val="000000"/>
          <w:spacing w:val="14"/>
          <w:kern w:val="0"/>
          <w:sz w:val="43"/>
          <w:szCs w:val="43"/>
        </w:rPr>
        <w:sectPr>
          <w:pgSz w:w="16838" w:h="11906" w:orient="landscape"/>
          <w:pgMar w:top="1701" w:right="1531" w:bottom="1984" w:left="1531" w:header="851" w:footer="992" w:gutter="0"/>
          <w:pgNumType w:fmt="numberInDash"/>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B0F8A"/>
    <w:rsid w:val="543B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99"/>
    <w:pPr>
      <w:autoSpaceDE w:val="0"/>
      <w:autoSpaceDN w:val="0"/>
      <w:jc w:val="left"/>
    </w:pPr>
    <w:rPr>
      <w:rFonts w:ascii="宋体" w:cs="宋体"/>
      <w:kern w:val="0"/>
      <w:sz w:val="32"/>
      <w:szCs w:val="32"/>
    </w:rPr>
  </w:style>
  <w:style w:type="paragraph" w:styleId="4">
    <w:name w:val="Body Text Indent"/>
    <w:basedOn w:val="1"/>
    <w:qFormat/>
    <w:uiPriority w:val="99"/>
    <w:pPr>
      <w:spacing w:after="120"/>
      <w:ind w:left="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2023-04-13T02:03:00Z</dcterms:created>
  <dc:creator>寒崽</dc:creator>
  <cp:lastModifiedBy>寒崽</cp:lastModifiedBy>
  <dcterms:modified xsi:type="dcterms:W3CDTF">2023-04-13T02:03:36Z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