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center" w:tblpY="-1799"/>
        <w:tblW w:w="16120" w:type="dxa"/>
        <w:tblInd w:w="0" w:type="dxa"/>
        <w:tblLayout w:type="fixed"/>
        <w:tblCellMar>
          <w:top w:w="0" w:type="dxa"/>
          <w:left w:w="108" w:type="dxa"/>
          <w:bottom w:w="0" w:type="dxa"/>
          <w:right w:w="108" w:type="dxa"/>
        </w:tblCellMar>
      </w:tblPr>
      <w:tblGrid>
        <w:gridCol w:w="1060"/>
        <w:gridCol w:w="1448"/>
        <w:gridCol w:w="176"/>
        <w:gridCol w:w="1115"/>
        <w:gridCol w:w="1528"/>
        <w:gridCol w:w="280"/>
        <w:gridCol w:w="2532"/>
        <w:gridCol w:w="66"/>
        <w:gridCol w:w="1948"/>
        <w:gridCol w:w="995"/>
        <w:gridCol w:w="916"/>
        <w:gridCol w:w="974"/>
        <w:gridCol w:w="879"/>
        <w:gridCol w:w="234"/>
        <w:gridCol w:w="1054"/>
        <w:gridCol w:w="915"/>
      </w:tblGrid>
      <w:tr>
        <w:tblPrEx>
          <w:tblLayout w:type="fixed"/>
          <w:tblCellMar>
            <w:top w:w="0" w:type="dxa"/>
            <w:left w:w="108" w:type="dxa"/>
            <w:bottom w:w="0" w:type="dxa"/>
            <w:right w:w="108" w:type="dxa"/>
          </w:tblCellMar>
        </w:tblPrEx>
        <w:trPr>
          <w:trHeight w:val="409" w:hRule="atLeast"/>
        </w:trPr>
        <w:tc>
          <w:tcPr>
            <w:tcW w:w="1060" w:type="dxa"/>
            <w:tcBorders>
              <w:top w:val="nil"/>
              <w:left w:val="nil"/>
              <w:bottom w:val="nil"/>
              <w:right w:val="nil"/>
            </w:tcBorders>
            <w:vAlign w:val="center"/>
          </w:tcPr>
          <w:p>
            <w:pPr>
              <w:widowControl/>
              <w:jc w:val="left"/>
              <w:rPr>
                <w:rFonts w:ascii="黑体" w:hAnsi="宋体" w:eastAsia="黑体" w:cs="宋体"/>
                <w:color w:val="000000"/>
                <w:kern w:val="0"/>
                <w:sz w:val="32"/>
                <w:szCs w:val="32"/>
              </w:rPr>
            </w:pPr>
            <w:bookmarkStart w:id="0" w:name="RANGE!A1:L56"/>
            <w:bookmarkEnd w:id="0"/>
            <w:r>
              <w:rPr>
                <w:rFonts w:hint="eastAsia" w:ascii="黑体" w:hAnsi="宋体" w:eastAsia="黑体" w:cs="宋体"/>
                <w:color w:val="000000"/>
                <w:kern w:val="0"/>
                <w:sz w:val="32"/>
                <w:szCs w:val="32"/>
              </w:rPr>
              <w:t>附件</w:t>
            </w:r>
            <w:r>
              <w:rPr>
                <w:rFonts w:ascii="黑体" w:hAnsi="宋体" w:eastAsia="黑体" w:cs="宋体"/>
                <w:color w:val="000000"/>
                <w:kern w:val="0"/>
                <w:sz w:val="32"/>
                <w:szCs w:val="32"/>
              </w:rPr>
              <w:t>1</w:t>
            </w:r>
          </w:p>
        </w:tc>
        <w:tc>
          <w:tcPr>
            <w:tcW w:w="1624" w:type="dxa"/>
            <w:gridSpan w:val="2"/>
            <w:tcBorders>
              <w:top w:val="nil"/>
              <w:left w:val="nil"/>
              <w:bottom w:val="nil"/>
              <w:right w:val="nil"/>
            </w:tcBorders>
            <w:vAlign w:val="center"/>
          </w:tcPr>
          <w:p>
            <w:pPr>
              <w:widowControl/>
              <w:jc w:val="left"/>
              <w:rPr>
                <w:rFonts w:ascii="黑体" w:eastAsia="黑体" w:cs="宋体"/>
                <w:color w:val="000000"/>
                <w:kern w:val="0"/>
                <w:szCs w:val="21"/>
              </w:rPr>
            </w:pPr>
          </w:p>
        </w:tc>
        <w:tc>
          <w:tcPr>
            <w:tcW w:w="1115" w:type="dxa"/>
            <w:tcBorders>
              <w:top w:val="nil"/>
              <w:left w:val="nil"/>
              <w:bottom w:val="nil"/>
              <w:right w:val="nil"/>
            </w:tcBorders>
            <w:vAlign w:val="center"/>
          </w:tcPr>
          <w:p>
            <w:pPr>
              <w:widowControl/>
              <w:jc w:val="left"/>
              <w:rPr>
                <w:rFonts w:ascii="宋体" w:cs="宋体"/>
                <w:color w:val="000000"/>
                <w:kern w:val="0"/>
                <w:szCs w:val="21"/>
              </w:rPr>
            </w:pPr>
          </w:p>
        </w:tc>
        <w:tc>
          <w:tcPr>
            <w:tcW w:w="1808" w:type="dxa"/>
            <w:gridSpan w:val="2"/>
            <w:tcBorders>
              <w:top w:val="nil"/>
              <w:left w:val="nil"/>
              <w:bottom w:val="nil"/>
              <w:right w:val="nil"/>
            </w:tcBorders>
            <w:vAlign w:val="center"/>
          </w:tcPr>
          <w:p>
            <w:pPr>
              <w:widowControl/>
              <w:jc w:val="left"/>
              <w:rPr>
                <w:rFonts w:ascii="宋体" w:cs="宋体"/>
                <w:color w:val="000000"/>
                <w:kern w:val="0"/>
                <w:szCs w:val="21"/>
              </w:rPr>
            </w:pPr>
          </w:p>
        </w:tc>
        <w:tc>
          <w:tcPr>
            <w:tcW w:w="2598" w:type="dxa"/>
            <w:gridSpan w:val="2"/>
            <w:tcBorders>
              <w:top w:val="nil"/>
              <w:left w:val="nil"/>
              <w:bottom w:val="nil"/>
              <w:right w:val="nil"/>
            </w:tcBorders>
            <w:vAlign w:val="center"/>
          </w:tcPr>
          <w:p>
            <w:pPr>
              <w:widowControl/>
              <w:jc w:val="left"/>
              <w:rPr>
                <w:rFonts w:ascii="宋体" w:cs="宋体"/>
                <w:color w:val="000000"/>
                <w:kern w:val="0"/>
                <w:szCs w:val="21"/>
              </w:rPr>
            </w:pPr>
          </w:p>
        </w:tc>
        <w:tc>
          <w:tcPr>
            <w:tcW w:w="1948" w:type="dxa"/>
            <w:tcBorders>
              <w:top w:val="nil"/>
              <w:left w:val="nil"/>
              <w:bottom w:val="nil"/>
              <w:right w:val="nil"/>
            </w:tcBorders>
            <w:vAlign w:val="center"/>
          </w:tcPr>
          <w:p>
            <w:pPr>
              <w:widowControl/>
              <w:jc w:val="left"/>
              <w:rPr>
                <w:rFonts w:ascii="宋体" w:cs="宋体"/>
                <w:color w:val="000000"/>
                <w:kern w:val="0"/>
                <w:szCs w:val="21"/>
              </w:rPr>
            </w:pPr>
          </w:p>
        </w:tc>
        <w:tc>
          <w:tcPr>
            <w:tcW w:w="995" w:type="dxa"/>
            <w:tcBorders>
              <w:top w:val="nil"/>
              <w:left w:val="nil"/>
              <w:bottom w:val="nil"/>
              <w:right w:val="nil"/>
            </w:tcBorders>
            <w:vAlign w:val="center"/>
          </w:tcPr>
          <w:p>
            <w:pPr>
              <w:widowControl/>
              <w:jc w:val="left"/>
              <w:rPr>
                <w:rFonts w:ascii="宋体" w:cs="宋体"/>
                <w:color w:val="000000"/>
                <w:kern w:val="0"/>
                <w:szCs w:val="21"/>
              </w:rPr>
            </w:pPr>
          </w:p>
        </w:tc>
        <w:tc>
          <w:tcPr>
            <w:tcW w:w="916" w:type="dxa"/>
            <w:tcBorders>
              <w:top w:val="nil"/>
              <w:left w:val="nil"/>
              <w:bottom w:val="nil"/>
              <w:right w:val="nil"/>
            </w:tcBorders>
            <w:vAlign w:val="center"/>
          </w:tcPr>
          <w:p>
            <w:pPr>
              <w:widowControl/>
              <w:jc w:val="left"/>
              <w:rPr>
                <w:rFonts w:ascii="宋体" w:cs="宋体"/>
                <w:color w:val="000000"/>
                <w:kern w:val="0"/>
                <w:szCs w:val="21"/>
              </w:rPr>
            </w:pPr>
          </w:p>
        </w:tc>
        <w:tc>
          <w:tcPr>
            <w:tcW w:w="974" w:type="dxa"/>
            <w:tcBorders>
              <w:top w:val="nil"/>
              <w:left w:val="nil"/>
              <w:bottom w:val="nil"/>
              <w:right w:val="nil"/>
            </w:tcBorders>
            <w:vAlign w:val="center"/>
          </w:tcPr>
          <w:p>
            <w:pPr>
              <w:widowControl/>
              <w:jc w:val="left"/>
              <w:rPr>
                <w:rFonts w:ascii="宋体" w:cs="宋体"/>
                <w:color w:val="000000"/>
                <w:kern w:val="0"/>
                <w:szCs w:val="21"/>
              </w:rPr>
            </w:pPr>
          </w:p>
        </w:tc>
        <w:tc>
          <w:tcPr>
            <w:tcW w:w="1113" w:type="dxa"/>
            <w:gridSpan w:val="2"/>
            <w:tcBorders>
              <w:top w:val="nil"/>
              <w:left w:val="nil"/>
              <w:bottom w:val="nil"/>
              <w:right w:val="nil"/>
            </w:tcBorders>
            <w:vAlign w:val="center"/>
          </w:tcPr>
          <w:p>
            <w:pPr>
              <w:widowControl/>
              <w:jc w:val="left"/>
              <w:rPr>
                <w:rFonts w:ascii="宋体" w:cs="宋体"/>
                <w:color w:val="000000"/>
                <w:kern w:val="0"/>
                <w:szCs w:val="21"/>
              </w:rPr>
            </w:pPr>
          </w:p>
        </w:tc>
        <w:tc>
          <w:tcPr>
            <w:tcW w:w="1054" w:type="dxa"/>
            <w:tcBorders>
              <w:top w:val="nil"/>
              <w:left w:val="nil"/>
              <w:bottom w:val="nil"/>
              <w:right w:val="nil"/>
            </w:tcBorders>
            <w:vAlign w:val="center"/>
          </w:tcPr>
          <w:p>
            <w:pPr>
              <w:widowControl/>
              <w:jc w:val="left"/>
              <w:rPr>
                <w:rFonts w:ascii="宋体" w:cs="宋体"/>
                <w:color w:val="000000"/>
                <w:kern w:val="0"/>
                <w:szCs w:val="21"/>
              </w:rPr>
            </w:pPr>
          </w:p>
        </w:tc>
        <w:tc>
          <w:tcPr>
            <w:tcW w:w="915" w:type="dxa"/>
            <w:tcBorders>
              <w:top w:val="nil"/>
              <w:left w:val="nil"/>
              <w:bottom w:val="nil"/>
              <w:right w:val="nil"/>
            </w:tcBorders>
            <w:vAlign w:val="center"/>
          </w:tcPr>
          <w:p>
            <w:pPr>
              <w:widowControl/>
              <w:jc w:val="left"/>
              <w:rPr>
                <w:rFonts w:ascii="宋体" w:cs="宋体"/>
                <w:color w:val="000000"/>
                <w:kern w:val="0"/>
                <w:szCs w:val="21"/>
              </w:rPr>
            </w:pPr>
          </w:p>
        </w:tc>
      </w:tr>
      <w:tr>
        <w:tblPrEx>
          <w:tblLayout w:type="fixed"/>
          <w:tblCellMar>
            <w:top w:w="0" w:type="dxa"/>
            <w:left w:w="108" w:type="dxa"/>
            <w:bottom w:w="0" w:type="dxa"/>
            <w:right w:w="108" w:type="dxa"/>
          </w:tblCellMar>
        </w:tblPrEx>
        <w:trPr>
          <w:trHeight w:val="585" w:hRule="atLeast"/>
        </w:trPr>
        <w:tc>
          <w:tcPr>
            <w:tcW w:w="16120" w:type="dxa"/>
            <w:gridSpan w:val="16"/>
            <w:tcBorders>
              <w:top w:val="nil"/>
              <w:left w:val="nil"/>
              <w:bottom w:val="nil"/>
              <w:right w:val="nil"/>
            </w:tcBorders>
            <w:vAlign w:val="center"/>
          </w:tcPr>
          <w:p>
            <w:pPr>
              <w:widowControl/>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sz w:val="44"/>
                <w:szCs w:val="44"/>
              </w:rPr>
              <w:t>工贸行业涉爆粉尘企业自查表</w:t>
            </w:r>
          </w:p>
        </w:tc>
      </w:tr>
      <w:tr>
        <w:tblPrEx>
          <w:tblLayout w:type="fixed"/>
          <w:tblCellMar>
            <w:top w:w="0" w:type="dxa"/>
            <w:left w:w="108" w:type="dxa"/>
            <w:bottom w:w="0" w:type="dxa"/>
            <w:right w:w="108" w:type="dxa"/>
          </w:tblCellMar>
        </w:tblPrEx>
        <w:trPr>
          <w:trHeight w:val="462"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企业名称</w:t>
            </w:r>
          </w:p>
        </w:tc>
        <w:tc>
          <w:tcPr>
            <w:tcW w:w="7079"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2014"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地址</w:t>
            </w:r>
          </w:p>
        </w:tc>
        <w:tc>
          <w:tcPr>
            <w:tcW w:w="3764"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288"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总人数</w:t>
            </w:r>
          </w:p>
        </w:tc>
        <w:tc>
          <w:tcPr>
            <w:tcW w:w="915"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88" w:hRule="atLeast"/>
        </w:trPr>
        <w:tc>
          <w:tcPr>
            <w:tcW w:w="106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法人代表</w:t>
            </w:r>
          </w:p>
        </w:tc>
        <w:tc>
          <w:tcPr>
            <w:tcW w:w="1624"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c>
          <w:tcPr>
            <w:tcW w:w="1115"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联系电话</w:t>
            </w:r>
          </w:p>
        </w:tc>
        <w:tc>
          <w:tcPr>
            <w:tcW w:w="1528"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c>
          <w:tcPr>
            <w:tcW w:w="2812"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安全负责人</w:t>
            </w:r>
          </w:p>
        </w:tc>
        <w:tc>
          <w:tcPr>
            <w:tcW w:w="2014"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288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联系电话</w:t>
            </w:r>
          </w:p>
        </w:tc>
        <w:tc>
          <w:tcPr>
            <w:tcW w:w="3082" w:type="dxa"/>
            <w:gridSpan w:val="4"/>
            <w:tcBorders>
              <w:top w:val="single" w:color="auto" w:sz="4" w:space="0"/>
              <w:left w:val="nil"/>
              <w:bottom w:val="single" w:color="auto" w:sz="4" w:space="0"/>
              <w:right w:val="single" w:color="000000"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24" w:hRule="atLeast"/>
        </w:trPr>
        <w:tc>
          <w:tcPr>
            <w:tcW w:w="16120"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企业粉尘种类及安全状况信息</w:t>
            </w:r>
          </w:p>
        </w:tc>
      </w:tr>
      <w:tr>
        <w:tblPrEx>
          <w:tblLayout w:type="fixed"/>
          <w:tblCellMar>
            <w:top w:w="0" w:type="dxa"/>
            <w:left w:w="108" w:type="dxa"/>
            <w:bottom w:w="0" w:type="dxa"/>
            <w:right w:w="108" w:type="dxa"/>
          </w:tblCellMar>
        </w:tblPrEx>
        <w:trPr>
          <w:trHeight w:val="36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所属行业</w:t>
            </w:r>
          </w:p>
        </w:tc>
        <w:tc>
          <w:tcPr>
            <w:tcW w:w="14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生产加工</w:t>
            </w:r>
          </w:p>
          <w:p>
            <w:pPr>
              <w:widowControl/>
              <w:jc w:val="center"/>
              <w:rPr>
                <w:rFonts w:ascii="宋体" w:cs="宋体"/>
                <w:color w:val="000000"/>
                <w:kern w:val="0"/>
                <w:szCs w:val="21"/>
              </w:rPr>
            </w:pPr>
            <w:r>
              <w:rPr>
                <w:rFonts w:hint="eastAsia" w:ascii="宋体" w:hAnsi="宋体" w:cs="宋体"/>
                <w:color w:val="000000"/>
                <w:kern w:val="0"/>
                <w:szCs w:val="21"/>
              </w:rPr>
              <w:t>涉及可粉尘产品</w:t>
            </w:r>
          </w:p>
        </w:tc>
        <w:tc>
          <w:tcPr>
            <w:tcW w:w="129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粉尘种类</w:t>
            </w:r>
          </w:p>
        </w:tc>
        <w:tc>
          <w:tcPr>
            <w:tcW w:w="1808"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粉尘爆炸特性</w:t>
            </w:r>
          </w:p>
          <w:p>
            <w:pPr>
              <w:widowControl/>
              <w:jc w:val="center"/>
              <w:rPr>
                <w:rFonts w:ascii="宋体" w:cs="宋体"/>
                <w:color w:val="000000"/>
                <w:kern w:val="0"/>
                <w:szCs w:val="21"/>
              </w:rPr>
            </w:pPr>
            <w:r>
              <w:rPr>
                <w:rFonts w:hint="eastAsia" w:ascii="宋体" w:hAnsi="宋体" w:cs="宋体"/>
                <w:color w:val="000000"/>
                <w:kern w:val="0"/>
                <w:szCs w:val="21"/>
              </w:rPr>
              <w:t>（爆炸下限）</w:t>
            </w:r>
          </w:p>
        </w:tc>
        <w:tc>
          <w:tcPr>
            <w:tcW w:w="2598"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粉尘生产作业区域面积</w:t>
            </w:r>
          </w:p>
        </w:tc>
        <w:tc>
          <w:tcPr>
            <w:tcW w:w="19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粉尘作业人数</w:t>
            </w:r>
          </w:p>
        </w:tc>
        <w:tc>
          <w:tcPr>
            <w:tcW w:w="5052"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选用粉尘防爆安全除尘系统（台</w:t>
            </w:r>
            <w:r>
              <w:rPr>
                <w:rFonts w:ascii="宋体" w:hAnsi="宋体" w:cs="宋体"/>
                <w:color w:val="000000"/>
                <w:kern w:val="0"/>
                <w:szCs w:val="21"/>
              </w:rPr>
              <w:t>/</w:t>
            </w:r>
            <w:r>
              <w:rPr>
                <w:rFonts w:hint="eastAsia" w:ascii="宋体" w:hAnsi="宋体" w:cs="宋体"/>
                <w:color w:val="000000"/>
                <w:kern w:val="0"/>
                <w:szCs w:val="21"/>
              </w:rPr>
              <w:t>套）</w:t>
            </w:r>
          </w:p>
        </w:tc>
        <w:tc>
          <w:tcPr>
            <w:tcW w:w="9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是否由专业机构或专家会诊</w:t>
            </w:r>
          </w:p>
        </w:tc>
      </w:tr>
      <w:tr>
        <w:tblPrEx>
          <w:tblLayout w:type="fixed"/>
          <w:tblCellMar>
            <w:top w:w="0" w:type="dxa"/>
            <w:left w:w="108" w:type="dxa"/>
            <w:bottom w:w="0" w:type="dxa"/>
            <w:right w:w="108" w:type="dxa"/>
          </w:tblCellMar>
        </w:tblPrEx>
        <w:trPr>
          <w:trHeight w:val="915"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808"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259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9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995"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干式</w:t>
            </w:r>
            <w:r>
              <w:rPr>
                <w:rFonts w:ascii="宋体" w:hAnsi="宋体" w:cs="宋体"/>
                <w:color w:val="000000"/>
                <w:kern w:val="0"/>
                <w:szCs w:val="21"/>
              </w:rPr>
              <w:t xml:space="preserve">   </w:t>
            </w:r>
            <w:r>
              <w:rPr>
                <w:rFonts w:hint="eastAsia" w:ascii="宋体" w:hAnsi="宋体" w:cs="宋体"/>
                <w:color w:val="000000"/>
                <w:kern w:val="0"/>
                <w:szCs w:val="21"/>
              </w:rPr>
              <w:t>布袋</w:t>
            </w:r>
          </w:p>
        </w:tc>
        <w:tc>
          <w:tcPr>
            <w:tcW w:w="916"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旋风</w:t>
            </w:r>
          </w:p>
        </w:tc>
        <w:tc>
          <w:tcPr>
            <w:tcW w:w="974"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湿式</w:t>
            </w:r>
          </w:p>
        </w:tc>
        <w:tc>
          <w:tcPr>
            <w:tcW w:w="1113"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未选用防爆安全除尘设备</w:t>
            </w:r>
          </w:p>
        </w:tc>
        <w:tc>
          <w:tcPr>
            <w:tcW w:w="1054"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无配置除尘</w:t>
            </w:r>
            <w:r>
              <w:rPr>
                <w:rFonts w:ascii="宋体" w:hAnsi="宋体" w:cs="宋体"/>
                <w:color w:val="000000"/>
                <w:kern w:val="0"/>
                <w:szCs w:val="21"/>
              </w:rPr>
              <w:t xml:space="preserve">  </w:t>
            </w:r>
            <w:r>
              <w:rPr>
                <w:rFonts w:hint="eastAsia" w:ascii="宋体" w:hAnsi="宋体" w:cs="宋体"/>
                <w:color w:val="000000"/>
                <w:kern w:val="0"/>
                <w:szCs w:val="21"/>
              </w:rPr>
              <w:t>设备</w:t>
            </w:r>
          </w:p>
        </w:tc>
        <w:tc>
          <w:tcPr>
            <w:tcW w:w="9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r>
      <w:tr>
        <w:tblPrEx>
          <w:tblLayout w:type="fixed"/>
          <w:tblCellMar>
            <w:top w:w="0" w:type="dxa"/>
            <w:left w:w="108" w:type="dxa"/>
            <w:bottom w:w="0" w:type="dxa"/>
            <w:right w:w="108" w:type="dxa"/>
          </w:tblCellMar>
        </w:tblPrEx>
        <w:trPr>
          <w:trHeight w:val="529" w:hRule="atLeast"/>
        </w:trPr>
        <w:tc>
          <w:tcPr>
            <w:tcW w:w="106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c>
          <w:tcPr>
            <w:tcW w:w="1448"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1291" w:type="dxa"/>
            <w:gridSpan w:val="2"/>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1808" w:type="dxa"/>
            <w:gridSpan w:val="2"/>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2598" w:type="dxa"/>
            <w:gridSpan w:val="2"/>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1948"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995"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916"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974"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1113" w:type="dxa"/>
            <w:gridSpan w:val="2"/>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1054"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c>
          <w:tcPr>
            <w:tcW w:w="915" w:type="dxa"/>
            <w:tcBorders>
              <w:top w:val="nil"/>
              <w:left w:val="nil"/>
              <w:bottom w:val="single" w:color="auto" w:sz="4" w:space="0"/>
              <w:right w:val="single" w:color="auto" w:sz="4" w:space="0"/>
            </w:tcBorders>
            <w:vAlign w:val="center"/>
          </w:tcPr>
          <w:p>
            <w:pPr>
              <w:widowControl/>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80" w:hRule="atLeast"/>
        </w:trPr>
        <w:tc>
          <w:tcPr>
            <w:tcW w:w="16120"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自查情况</w:t>
            </w:r>
          </w:p>
        </w:tc>
      </w:tr>
      <w:tr>
        <w:tblPrEx>
          <w:tblLayout w:type="fixed"/>
          <w:tblCellMar>
            <w:top w:w="0" w:type="dxa"/>
            <w:left w:w="108" w:type="dxa"/>
            <w:bottom w:w="0" w:type="dxa"/>
            <w:right w:w="108" w:type="dxa"/>
          </w:tblCellMar>
        </w:tblPrEx>
        <w:trPr>
          <w:trHeight w:val="439" w:hRule="atLeast"/>
        </w:trPr>
        <w:tc>
          <w:tcPr>
            <w:tcW w:w="1060" w:type="dxa"/>
            <w:tcBorders>
              <w:top w:val="nil"/>
              <w:left w:val="single" w:color="auto" w:sz="4" w:space="0"/>
              <w:bottom w:val="nil"/>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序号</w:t>
            </w:r>
          </w:p>
        </w:tc>
        <w:tc>
          <w:tcPr>
            <w:tcW w:w="1448" w:type="dxa"/>
            <w:tcBorders>
              <w:top w:val="nil"/>
              <w:left w:val="nil"/>
              <w:bottom w:val="nil"/>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项目</w:t>
            </w:r>
          </w:p>
        </w:tc>
        <w:tc>
          <w:tcPr>
            <w:tcW w:w="1291" w:type="dxa"/>
            <w:gridSpan w:val="2"/>
            <w:tcBorders>
              <w:top w:val="nil"/>
              <w:left w:val="nil"/>
              <w:bottom w:val="nil"/>
              <w:right w:val="single" w:color="auto" w:sz="4" w:space="0"/>
            </w:tcBorders>
            <w:vAlign w:val="center"/>
          </w:tcPr>
          <w:p>
            <w:pPr>
              <w:widowControl/>
              <w:jc w:val="left"/>
              <w:rPr>
                <w:rFonts w:ascii="宋体" w:cs="宋体"/>
                <w:b/>
                <w:bCs/>
                <w:color w:val="000000"/>
                <w:kern w:val="0"/>
                <w:szCs w:val="21"/>
              </w:rPr>
            </w:pPr>
            <w:r>
              <w:rPr>
                <w:rFonts w:hint="eastAsia" w:ascii="宋体" w:hAnsi="宋体" w:cs="宋体"/>
                <w:b/>
                <w:bCs/>
                <w:color w:val="000000"/>
                <w:kern w:val="0"/>
                <w:szCs w:val="21"/>
              </w:rPr>
              <w:t>　</w:t>
            </w:r>
          </w:p>
        </w:tc>
        <w:tc>
          <w:tcPr>
            <w:tcW w:w="4406" w:type="dxa"/>
            <w:gridSpan w:val="4"/>
            <w:tcBorders>
              <w:top w:val="single" w:color="auto" w:sz="4" w:space="0"/>
              <w:left w:val="nil"/>
              <w:bottom w:val="nil"/>
              <w:right w:val="single" w:color="000000"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安全要求</w:t>
            </w:r>
          </w:p>
        </w:tc>
        <w:tc>
          <w:tcPr>
            <w:tcW w:w="3859" w:type="dxa"/>
            <w:gridSpan w:val="3"/>
            <w:tcBorders>
              <w:top w:val="single" w:color="auto" w:sz="4" w:space="0"/>
              <w:left w:val="nil"/>
              <w:bottom w:val="nil"/>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安全要求依据</w:t>
            </w:r>
          </w:p>
        </w:tc>
        <w:tc>
          <w:tcPr>
            <w:tcW w:w="2087" w:type="dxa"/>
            <w:gridSpan w:val="3"/>
            <w:tcBorders>
              <w:top w:val="single" w:color="auto" w:sz="4" w:space="0"/>
              <w:left w:val="nil"/>
              <w:bottom w:val="nil"/>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存在问题</w:t>
            </w:r>
          </w:p>
        </w:tc>
        <w:tc>
          <w:tcPr>
            <w:tcW w:w="1969" w:type="dxa"/>
            <w:gridSpan w:val="2"/>
            <w:tcBorders>
              <w:top w:val="single" w:color="auto" w:sz="4" w:space="0"/>
              <w:left w:val="nil"/>
              <w:bottom w:val="nil"/>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整改措施</w:t>
            </w:r>
          </w:p>
        </w:tc>
      </w:tr>
      <w:tr>
        <w:tblPrEx>
          <w:tblLayout w:type="fixed"/>
          <w:tblCellMar>
            <w:top w:w="0" w:type="dxa"/>
            <w:left w:w="108" w:type="dxa"/>
            <w:bottom w:w="0" w:type="dxa"/>
            <w:right w:w="108" w:type="dxa"/>
          </w:tblCellMar>
        </w:tblPrEx>
        <w:trPr>
          <w:trHeight w:val="679" w:hRule="atLeast"/>
        </w:trPr>
        <w:tc>
          <w:tcPr>
            <w:tcW w:w="10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w:t>
            </w:r>
          </w:p>
        </w:tc>
        <w:tc>
          <w:tcPr>
            <w:tcW w:w="1448" w:type="dxa"/>
            <w:vMerge w:val="restart"/>
            <w:tcBorders>
              <w:top w:val="single" w:color="auto" w:sz="4" w:space="0"/>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建构筑物</w:t>
            </w: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1.1</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粉尘爆炸危险场所厂房建（构）筑物的防火安全必须经消防部门验收合格。</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《中华人民共和国消防法》</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855"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1.2</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粉尘爆炸危险场所设置在单层厂房的，屋顶应当采用轻型结构；设置在多层厂房内的，厂房建筑物应当采用是框架结构。</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）、《建筑设计防火规范》（</w:t>
            </w:r>
            <w:r>
              <w:rPr>
                <w:rFonts w:ascii="宋体" w:hAnsi="宋体" w:cs="宋体"/>
                <w:color w:val="000000"/>
                <w:kern w:val="0"/>
                <w:szCs w:val="21"/>
              </w:rPr>
              <w:t>GB50016</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29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1.3</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厂房建筑物内设有粉尘涉爆生产加工区，建筑物与居民区、教育、医院、商业等重要公共建筑之间的防火间距符合相关标准规定。</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《消防法》</w:t>
            </w:r>
            <w:r>
              <w:rPr>
                <w:rFonts w:ascii="宋体" w:hAnsi="宋体" w:cs="宋体"/>
                <w:color w:val="000000"/>
                <w:kern w:val="0"/>
                <w:szCs w:val="21"/>
              </w:rPr>
              <w:t xml:space="preserve"> </w:t>
            </w:r>
            <w:r>
              <w:rPr>
                <w:rFonts w:hint="eastAsia" w:ascii="宋体" w:hAnsi="宋体" w:cs="宋体"/>
                <w:color w:val="000000"/>
                <w:kern w:val="0"/>
                <w:szCs w:val="21"/>
              </w:rPr>
              <w:t>、《建设工程安全生产管理条例》、《建筑设计防火规范》（</w:t>
            </w:r>
            <w:r>
              <w:rPr>
                <w:rFonts w:ascii="宋体" w:hAnsi="宋体" w:cs="宋体"/>
                <w:color w:val="000000"/>
                <w:kern w:val="0"/>
                <w:szCs w:val="21"/>
              </w:rPr>
              <w:t>GB 50016</w:t>
            </w: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788"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1.4</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厂房内存在金属粉尘爆炸危险的区域不得设置办公室、休息室、危险化学品仓库。</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GB50016</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485" w:hRule="atLeast"/>
        </w:trPr>
        <w:tc>
          <w:tcPr>
            <w:tcW w:w="1060"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w:t>
            </w:r>
          </w:p>
        </w:tc>
        <w:tc>
          <w:tcPr>
            <w:tcW w:w="1448" w:type="dxa"/>
            <w:vMerge w:val="restart"/>
            <w:tcBorders>
              <w:top w:val="single" w:color="auto" w:sz="4" w:space="0"/>
              <w:left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建构筑物</w:t>
            </w: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1.5</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粉尘涉爆生产加工区应与其它加工方式作业区，按防火分区进行隔离（如：铝镁制品打磨抛光与电焊气割作业分区隔离、木制品加工与喷漆作业分区隔离等）。粉尘涉爆区应靠外墙设立。</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 50016</w:t>
            </w: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17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1.6</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存在粉尘爆炸危险的厂房应当按照《建筑设计防火规范》（</w:t>
            </w:r>
            <w:r>
              <w:rPr>
                <w:rFonts w:ascii="宋体" w:hAnsi="宋体" w:cs="宋体"/>
                <w:color w:val="000000"/>
                <w:kern w:val="0"/>
                <w:szCs w:val="21"/>
              </w:rPr>
              <w:t>GB 50016</w:t>
            </w:r>
            <w:r>
              <w:rPr>
                <w:rFonts w:hint="eastAsia" w:ascii="宋体" w:hAnsi="宋体" w:cs="宋体"/>
                <w:color w:val="000000"/>
                <w:kern w:val="0"/>
                <w:szCs w:val="21"/>
              </w:rPr>
              <w:t>）等规定，在其外墙上设置泄压设施，泄压（口）的朝向应避开人员密集场所和主要交通道路。</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 50016</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789"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1.7</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存在粉尘爆炸危险的车间，应当设有两个以上安全出口，其中至少有一个通向非爆炸危险区域，其安全出口的门应当向爆炸危险性较小的区域侧开启。安全通道应畅通，不得堆放包括易燃易爆物品在内的任何物品。</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 50016</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964"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1.8</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防雷设施应取得气象部门防雷检测机构出具的检测报告。</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《防雷减灾管理办法》（中国气象局令第</w:t>
            </w:r>
            <w:r>
              <w:rPr>
                <w:rFonts w:ascii="宋体" w:hAnsi="宋体" w:cs="宋体"/>
                <w:color w:val="000000"/>
                <w:kern w:val="0"/>
                <w:szCs w:val="21"/>
              </w:rPr>
              <w:t>24</w:t>
            </w:r>
            <w:r>
              <w:rPr>
                <w:rFonts w:hint="eastAsia" w:ascii="宋体" w:hAnsi="宋体" w:cs="宋体"/>
                <w:color w:val="000000"/>
                <w:kern w:val="0"/>
                <w:szCs w:val="21"/>
              </w:rPr>
              <w:t>号）、《建筑物防雷设计规范》（</w:t>
            </w:r>
            <w:r>
              <w:rPr>
                <w:rFonts w:ascii="宋体" w:hAnsi="宋体" w:cs="宋体"/>
                <w:color w:val="000000"/>
                <w:kern w:val="0"/>
                <w:szCs w:val="21"/>
              </w:rPr>
              <w:t>GB 50057</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095" w:hRule="atLeast"/>
        </w:trPr>
        <w:tc>
          <w:tcPr>
            <w:tcW w:w="1060" w:type="dxa"/>
            <w:vMerge w:val="restart"/>
            <w:tcBorders>
              <w:top w:val="nil"/>
              <w:left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w:t>
            </w:r>
          </w:p>
        </w:tc>
        <w:tc>
          <w:tcPr>
            <w:tcW w:w="1448" w:type="dxa"/>
            <w:vMerge w:val="restart"/>
            <w:tcBorders>
              <w:top w:val="nil"/>
              <w:left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防爆技术</w:t>
            </w:r>
          </w:p>
          <w:p>
            <w:pPr>
              <w:widowControl/>
              <w:jc w:val="center"/>
              <w:rPr>
                <w:rFonts w:ascii="宋体" w:cs="宋体"/>
                <w:color w:val="000000"/>
                <w:kern w:val="0"/>
                <w:szCs w:val="21"/>
              </w:rPr>
            </w:pPr>
            <w:r>
              <w:rPr>
                <w:rFonts w:hint="eastAsia" w:ascii="宋体" w:hAnsi="宋体" w:cs="宋体"/>
                <w:color w:val="000000"/>
                <w:kern w:val="0"/>
                <w:szCs w:val="21"/>
              </w:rPr>
              <w:t>措施</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2.1</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可燃粉尘与可燃气体等易加剧爆炸危险的介质不得共用一套除尘系统。</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020"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2.2</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粉尘爆炸危险场所不同防火分区的除尘系统不得互联互通。</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134"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2.3</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存在粉尘爆炸危险的干式除尘系统（包括除尘器、除尘器进风管）、粉体加工设备、料仓、斗式提升机等设备设施必须按规范采用泄爆、隔爆、惰化、抑爆等控爆措施。</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）《饲料加工系统粉尘防爆安全规程》（</w:t>
            </w:r>
            <w:r>
              <w:rPr>
                <w:rFonts w:ascii="宋体" w:hAnsi="宋体" w:cs="宋体"/>
                <w:color w:val="000000"/>
                <w:kern w:val="0"/>
                <w:szCs w:val="21"/>
              </w:rPr>
              <w:t>GB 19081</w:t>
            </w:r>
            <w:r>
              <w:rPr>
                <w:rFonts w:hint="eastAsia" w:ascii="宋体" w:hAnsi="宋体" w:cs="宋体"/>
                <w:color w:val="000000"/>
                <w:kern w:val="0"/>
                <w:szCs w:val="21"/>
              </w:rPr>
              <w:t>）、《粮食加工、储运系统粉尘防爆安全规程》（</w:t>
            </w:r>
            <w:r>
              <w:rPr>
                <w:rFonts w:ascii="宋体" w:hAnsi="宋体" w:cs="宋体"/>
                <w:color w:val="000000"/>
                <w:kern w:val="0"/>
                <w:szCs w:val="21"/>
              </w:rPr>
              <w:t>GB17440</w:t>
            </w:r>
            <w:r>
              <w:rPr>
                <w:rFonts w:hint="eastAsia" w:ascii="宋体" w:hAnsi="宋体" w:cs="宋体"/>
                <w:color w:val="000000"/>
                <w:kern w:val="0"/>
                <w:szCs w:val="21"/>
              </w:rPr>
              <w:t>）、《高炉喷吹烟煤系统防爆安全规程》（</w:t>
            </w:r>
            <w:r>
              <w:rPr>
                <w:rFonts w:ascii="宋体" w:hAnsi="宋体" w:cs="宋体"/>
                <w:color w:val="000000"/>
                <w:kern w:val="0"/>
                <w:szCs w:val="21"/>
              </w:rPr>
              <w:t>GB 16543</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AQ4273-2016</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260" w:hRule="atLeast"/>
        </w:trPr>
        <w:tc>
          <w:tcPr>
            <w:tcW w:w="106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w:t>
            </w:r>
          </w:p>
        </w:tc>
        <w:tc>
          <w:tcPr>
            <w:tcW w:w="1448"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防爆技术</w:t>
            </w:r>
          </w:p>
          <w:p>
            <w:pPr>
              <w:widowControl/>
              <w:jc w:val="center"/>
              <w:rPr>
                <w:rFonts w:ascii="宋体" w:cs="宋体"/>
                <w:color w:val="000000"/>
                <w:kern w:val="0"/>
                <w:szCs w:val="21"/>
              </w:rPr>
            </w:pPr>
            <w:r>
              <w:rPr>
                <w:rFonts w:hint="eastAsia" w:ascii="宋体" w:hAnsi="宋体" w:cs="宋体"/>
                <w:color w:val="000000"/>
                <w:kern w:val="0"/>
                <w:szCs w:val="21"/>
              </w:rPr>
              <w:t>措施</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2.4</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存在爆炸危险的设备的泄压装置泄压口应通往室外安全区域。若泄压装置泄压口设在厂房内，应采用无火焰泄压装置。</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38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2.5</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粉尘爆炸危险场所的除尘器应按规范布置在系统的负压段。</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 50016</w:t>
            </w:r>
            <w:r>
              <w:rPr>
                <w:rFonts w:hint="eastAsia" w:ascii="宋体" w:hAnsi="宋体" w:cs="宋体"/>
                <w:color w:val="000000"/>
                <w:kern w:val="0"/>
                <w:szCs w:val="21"/>
              </w:rPr>
              <w:t>）、《工业建筑供暖通风与空气调节设计规范》（</w:t>
            </w:r>
            <w:r>
              <w:rPr>
                <w:rFonts w:ascii="宋体" w:hAnsi="宋体" w:cs="宋体"/>
                <w:color w:val="000000"/>
                <w:kern w:val="0"/>
                <w:szCs w:val="21"/>
              </w:rPr>
              <w:t>GB 50019</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620"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2.6</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含有可燃粉尘的空气，在进入风机前必须按规范采用不产生火花的除尘器进行处理。</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 50016</w:t>
            </w:r>
            <w:r>
              <w:rPr>
                <w:rFonts w:hint="eastAsia" w:ascii="宋体" w:hAnsi="宋体" w:cs="宋体"/>
                <w:color w:val="000000"/>
                <w:kern w:val="0"/>
                <w:szCs w:val="21"/>
              </w:rPr>
              <w:t>）、《工业建筑供暖通风与空气调节设计规范》（</w:t>
            </w:r>
            <w:r>
              <w:rPr>
                <w:rFonts w:ascii="宋体" w:hAnsi="宋体" w:cs="宋体"/>
                <w:color w:val="000000"/>
                <w:kern w:val="0"/>
                <w:szCs w:val="21"/>
              </w:rPr>
              <w:t>GB 50019</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025"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2.7</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所有产尘点均应装设吸尘罩，风管中不应有粉尘沉降。</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）、《木工机械安全使用要求》（</w:t>
            </w:r>
            <w:r>
              <w:rPr>
                <w:rFonts w:ascii="宋体" w:hAnsi="宋体" w:cs="宋体"/>
                <w:color w:val="000000"/>
                <w:kern w:val="0"/>
                <w:szCs w:val="21"/>
              </w:rPr>
              <w:t>AQ 7005</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684"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2.8</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采用干式除尘的，除尘系统不得采用电除尘、具有粉尘沉降室的重力除尘方式除尘，禁止采用干式巷道式构筑物作为除尘风道。选用湿式除尘器进行除尘时，采用水洗或水幕除尘工艺；木质家具机械加工可采用单机滤袋吸尘器。</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440"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2.9</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干式布袋除尘器宜布置在厂房外部。用于铝镁等金属粉尘的除尘器应采取防雨、积水措施。</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）、《木工机械安全使用要求》（</w:t>
            </w:r>
            <w:r>
              <w:rPr>
                <w:rFonts w:ascii="宋体" w:hAnsi="宋体" w:cs="宋体"/>
                <w:color w:val="000000"/>
                <w:kern w:val="0"/>
                <w:szCs w:val="21"/>
              </w:rPr>
              <w:t>AQ 7005</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358" w:hRule="atLeast"/>
        </w:trPr>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c>
          <w:tcPr>
            <w:tcW w:w="14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防爆技术</w:t>
            </w:r>
          </w:p>
          <w:p>
            <w:pPr>
              <w:widowControl/>
              <w:jc w:val="center"/>
              <w:rPr>
                <w:rFonts w:ascii="宋体" w:cs="宋体"/>
                <w:color w:val="000000"/>
                <w:kern w:val="0"/>
                <w:szCs w:val="21"/>
              </w:rPr>
            </w:pPr>
            <w:r>
              <w:rPr>
                <w:rFonts w:hint="eastAsia" w:ascii="宋体" w:hAnsi="宋体" w:cs="宋体"/>
                <w:color w:val="000000"/>
                <w:kern w:val="0"/>
                <w:szCs w:val="21"/>
              </w:rPr>
              <w:t>措施</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2.10</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除尘风管应明设，按规范采用圆型横截面钢质金属材料；若采用其他材料则应选用阻燃材料且采取防静电措施，不得选用铝质金属材料。</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《建筑设计防火规范》（</w:t>
            </w:r>
            <w:r>
              <w:rPr>
                <w:rFonts w:ascii="宋体" w:hAnsi="宋体" w:cs="宋体"/>
                <w:color w:val="000000"/>
                <w:kern w:val="0"/>
                <w:szCs w:val="21"/>
              </w:rPr>
              <w:t>GB 50016</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044" w:hRule="atLeast"/>
        </w:trPr>
        <w:tc>
          <w:tcPr>
            <w:tcW w:w="106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2.11</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除尘主风管设计风速应按风管内的粉尘浓度不大于爆炸下限的</w:t>
            </w:r>
            <w:r>
              <w:rPr>
                <w:rFonts w:ascii="宋体" w:hAnsi="宋体" w:cs="宋体"/>
                <w:color w:val="000000"/>
                <w:kern w:val="0"/>
                <w:szCs w:val="21"/>
              </w:rPr>
              <w:t>50%</w:t>
            </w:r>
            <w:r>
              <w:rPr>
                <w:rFonts w:hint="eastAsia" w:ascii="宋体" w:hAnsi="宋体" w:cs="宋体"/>
                <w:color w:val="000000"/>
                <w:kern w:val="0"/>
                <w:szCs w:val="21"/>
              </w:rPr>
              <w:t>、铝镁金属粉尘浓度不大于爆炸下限的</w:t>
            </w:r>
            <w:r>
              <w:rPr>
                <w:rFonts w:ascii="宋体" w:hAnsi="宋体" w:cs="宋体"/>
                <w:color w:val="000000"/>
                <w:kern w:val="0"/>
                <w:szCs w:val="21"/>
              </w:rPr>
              <w:t>25%</w:t>
            </w:r>
            <w:r>
              <w:rPr>
                <w:rFonts w:hint="eastAsia" w:ascii="宋体" w:hAnsi="宋体" w:cs="宋体"/>
                <w:color w:val="000000"/>
                <w:kern w:val="0"/>
                <w:szCs w:val="21"/>
              </w:rPr>
              <w:t>计算；铝镁制品抛光打磨加工除尘器主风管风速应大于</w:t>
            </w:r>
            <w:r>
              <w:rPr>
                <w:rFonts w:ascii="宋体" w:hAnsi="宋体" w:cs="宋体"/>
                <w:color w:val="000000"/>
                <w:kern w:val="0"/>
                <w:szCs w:val="21"/>
              </w:rPr>
              <w:t>23m/s</w:t>
            </w:r>
            <w:r>
              <w:rPr>
                <w:rFonts w:hint="eastAsia" w:ascii="宋体" w:hAnsi="宋体" w:cs="宋体"/>
                <w:color w:val="000000"/>
                <w:kern w:val="0"/>
                <w:szCs w:val="21"/>
              </w:rPr>
              <w:t>，木材加工系统除尘器主风管风速应大于</w:t>
            </w:r>
            <w:r>
              <w:rPr>
                <w:rFonts w:ascii="宋体" w:hAnsi="宋体" w:cs="宋体"/>
                <w:color w:val="000000"/>
                <w:kern w:val="0"/>
                <w:szCs w:val="21"/>
              </w:rPr>
              <w:t>20m/s</w:t>
            </w:r>
            <w:r>
              <w:rPr>
                <w:rFonts w:hint="eastAsia" w:ascii="宋体" w:hAnsi="宋体" w:cs="宋体"/>
                <w:color w:val="000000"/>
                <w:kern w:val="0"/>
                <w:szCs w:val="21"/>
              </w:rPr>
              <w:t>，风管内不应出现超过厚度</w:t>
            </w:r>
            <w:r>
              <w:rPr>
                <w:rFonts w:ascii="宋体" w:hAnsi="宋体" w:cs="宋体"/>
                <w:color w:val="000000"/>
                <w:kern w:val="0"/>
                <w:szCs w:val="21"/>
              </w:rPr>
              <w:t>1mm</w:t>
            </w:r>
            <w:r>
              <w:rPr>
                <w:rFonts w:hint="eastAsia" w:ascii="宋体" w:hAnsi="宋体" w:cs="宋体"/>
                <w:color w:val="000000"/>
                <w:kern w:val="0"/>
                <w:szCs w:val="21"/>
              </w:rPr>
              <w:t>的积尘。</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《工业建筑供暖通风与空气调节设计规范》（</w:t>
            </w:r>
            <w:r>
              <w:rPr>
                <w:rFonts w:ascii="宋体" w:hAnsi="宋体" w:cs="宋体"/>
                <w:color w:val="000000"/>
                <w:kern w:val="0"/>
                <w:szCs w:val="21"/>
              </w:rPr>
              <w:t>GB 50019</w:t>
            </w:r>
            <w:r>
              <w:rPr>
                <w:rFonts w:hint="eastAsia" w:ascii="宋体" w:hAnsi="宋体" w:cs="宋体"/>
                <w:color w:val="000000"/>
                <w:kern w:val="0"/>
                <w:szCs w:val="21"/>
              </w:rPr>
              <w:t>）、《木材加工系统粉尘防爆安全规范》（</w:t>
            </w:r>
            <w:r>
              <w:rPr>
                <w:rFonts w:ascii="宋体" w:hAnsi="宋体" w:cs="宋体"/>
                <w:color w:val="000000"/>
                <w:kern w:val="0"/>
                <w:szCs w:val="21"/>
              </w:rPr>
              <w:t>AQ4228</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28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2.12</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铝镁等金属粉尘及木质粉尘的除尘器，必须按规范在除尘器灰斗下部设置锁气卸灰装置，锁气卸灰装置应与除尘器同步运行；锁气卸灰装置卸灰工作周期的设计应使灰斗内无粉尘堆积；应设置卸灰装置运行异常及故障停机的监控装置，出现运行异常及故障停机状况时应发出声光报警信号。</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47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2.13</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干式布袋除尘器应按规范设置进、出风口风压差监测装置，设置清灰气压监测装置。</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620"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2.14</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布袋除尘器应当采用阻燃和不产生静电的布袋。</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999" w:hRule="atLeast"/>
        </w:trPr>
        <w:tc>
          <w:tcPr>
            <w:tcW w:w="106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c>
          <w:tcPr>
            <w:tcW w:w="1448"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防爆技术措施</w:t>
            </w:r>
          </w:p>
        </w:tc>
        <w:tc>
          <w:tcPr>
            <w:tcW w:w="12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2.15</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铝镁等金属制品机械加工采用湿法机械加工工艺的，应当连续供水，并设置供水水量、水压监测报警装置，定期清理过滤池（槽）、沉淀池（槽）中的金属泥浆。铝镁等遇湿自燃的金属采用湿法加工的，其循环水的水箱（槽、池）、过滤池（槽）、沉淀池（槽）等应当通风良好。</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3030"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2.16</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有爆炸危险的金属粉尘采用湿式除尘时，应当连续供水，并设置供水水量、水压监测报警装置，除尘器、管道喷淋、喷雾洒水形成的水幕应当尽量靠近产尘源，除尘水箱（槽、池）应当有足够的水量，水质清洁，并每班巡查清理金属泥浆。对铝镁等遇湿自燃的金属进行湿式除尘的，无论除尘器处于开启或者停止状态，储水箱（槽、池）、过滤池（槽）及水质过滤装置、沉淀池（槽）、粉尘收集槽（箱）等不得密闭，池（箱）内不得存在沉积泥浆</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545"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2.17</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风机、叶片运转正常，无摩擦、碰撞，无异常杂音。</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）、《粉尘爆炸危险场所用收尘器防爆导则》（</w:t>
            </w:r>
            <w:r>
              <w:rPr>
                <w:rFonts w:ascii="宋体" w:hAnsi="宋体" w:cs="宋体"/>
                <w:color w:val="000000"/>
                <w:kern w:val="0"/>
                <w:szCs w:val="21"/>
              </w:rPr>
              <w:t>GB/T 17919</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943" w:hRule="atLeast"/>
        </w:trPr>
        <w:tc>
          <w:tcPr>
            <w:tcW w:w="10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c>
          <w:tcPr>
            <w:tcW w:w="1448"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电气及防火安全</w:t>
            </w: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3.1</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w:t>
            </w:r>
            <w:r>
              <w:rPr>
                <w:rFonts w:ascii="宋体" w:hAnsi="宋体" w:cs="宋体"/>
                <w:color w:val="000000"/>
                <w:kern w:val="0"/>
                <w:szCs w:val="21"/>
              </w:rPr>
              <w:t>20</w:t>
            </w:r>
            <w:r>
              <w:rPr>
                <w:rFonts w:hint="eastAsia" w:ascii="宋体" w:hAnsi="宋体" w:cs="宋体"/>
                <w:color w:val="000000"/>
                <w:kern w:val="0"/>
                <w:szCs w:val="21"/>
              </w:rPr>
              <w:t>区的电气设备、监测及监控装置，必须符合</w:t>
            </w:r>
            <w:r>
              <w:rPr>
                <w:rFonts w:ascii="宋体" w:hAnsi="宋体" w:cs="宋体"/>
                <w:color w:val="000000"/>
                <w:kern w:val="0"/>
                <w:szCs w:val="21"/>
              </w:rPr>
              <w:t>GB 12476.1</w:t>
            </w:r>
            <w:r>
              <w:rPr>
                <w:rFonts w:hint="eastAsia" w:ascii="宋体" w:hAnsi="宋体" w:cs="宋体"/>
                <w:color w:val="000000"/>
                <w:kern w:val="0"/>
                <w:szCs w:val="21"/>
              </w:rPr>
              <w:t>、</w:t>
            </w:r>
            <w:r>
              <w:rPr>
                <w:rFonts w:ascii="宋体" w:hAnsi="宋体" w:cs="宋体"/>
                <w:color w:val="000000"/>
                <w:kern w:val="0"/>
                <w:szCs w:val="21"/>
              </w:rPr>
              <w:t>GB 12476.2</w:t>
            </w:r>
            <w:r>
              <w:rPr>
                <w:rFonts w:hint="eastAsia" w:ascii="宋体" w:hAnsi="宋体" w:cs="宋体"/>
                <w:color w:val="000000"/>
                <w:kern w:val="0"/>
                <w:szCs w:val="21"/>
              </w:rPr>
              <w:t>规定的</w:t>
            </w:r>
            <w:r>
              <w:rPr>
                <w:rFonts w:ascii="宋体" w:hAnsi="宋体" w:cs="宋体"/>
                <w:color w:val="000000"/>
                <w:kern w:val="0"/>
                <w:szCs w:val="21"/>
              </w:rPr>
              <w:t>20</w:t>
            </w:r>
            <w:r>
              <w:rPr>
                <w:rFonts w:hint="eastAsia" w:ascii="宋体" w:hAnsi="宋体" w:cs="宋体"/>
                <w:color w:val="000000"/>
                <w:kern w:val="0"/>
                <w:szCs w:val="21"/>
              </w:rPr>
              <w:t>区防爆类型和级别要求；电气设备、监测及监控装置的电气连接必须符合</w:t>
            </w:r>
            <w:r>
              <w:rPr>
                <w:rFonts w:ascii="宋体" w:hAnsi="宋体" w:cs="宋体"/>
                <w:color w:val="000000"/>
                <w:kern w:val="0"/>
                <w:szCs w:val="21"/>
              </w:rPr>
              <w:t>GB 50058</w:t>
            </w:r>
            <w:r>
              <w:rPr>
                <w:rFonts w:hint="eastAsia" w:ascii="宋体" w:hAnsi="宋体" w:cs="宋体"/>
                <w:color w:val="000000"/>
                <w:kern w:val="0"/>
                <w:szCs w:val="21"/>
              </w:rPr>
              <w:t>的要求。</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）、《爆炸危险环境电力装置设计规范》（</w:t>
            </w:r>
            <w:r>
              <w:rPr>
                <w:rFonts w:ascii="宋体" w:hAnsi="宋体" w:cs="宋体"/>
                <w:color w:val="000000"/>
                <w:kern w:val="0"/>
                <w:szCs w:val="21"/>
              </w:rPr>
              <w:t>GB 50058</w:t>
            </w:r>
            <w:r>
              <w:rPr>
                <w:rFonts w:hint="eastAsia" w:ascii="宋体" w:hAnsi="宋体" w:cs="宋体"/>
                <w:color w:val="000000"/>
                <w:kern w:val="0"/>
                <w:szCs w:val="21"/>
              </w:rPr>
              <w:t>）、《可燃性粉尘环境用电气设备</w:t>
            </w:r>
            <w:r>
              <w:rPr>
                <w:rFonts w:ascii="宋体" w:hAnsi="宋体" w:cs="宋体"/>
                <w:color w:val="000000"/>
                <w:kern w:val="0"/>
                <w:szCs w:val="21"/>
              </w:rPr>
              <w:t xml:space="preserve"> </w:t>
            </w:r>
            <w:r>
              <w:rPr>
                <w:rFonts w:hint="eastAsia" w:ascii="宋体" w:hAnsi="宋体" w:cs="宋体"/>
                <w:color w:val="000000"/>
                <w:kern w:val="0"/>
                <w:szCs w:val="21"/>
              </w:rPr>
              <w:t>第</w:t>
            </w:r>
            <w:r>
              <w:rPr>
                <w:rFonts w:ascii="宋体" w:hAnsi="宋体" w:cs="宋体"/>
                <w:color w:val="000000"/>
                <w:kern w:val="0"/>
                <w:szCs w:val="21"/>
              </w:rPr>
              <w:t>1</w:t>
            </w:r>
            <w:r>
              <w:rPr>
                <w:rFonts w:hint="eastAsia" w:ascii="宋体" w:hAnsi="宋体" w:cs="宋体"/>
                <w:color w:val="000000"/>
                <w:kern w:val="0"/>
                <w:szCs w:val="21"/>
              </w:rPr>
              <w:t>部分</w:t>
            </w:r>
            <w:r>
              <w:rPr>
                <w:rFonts w:ascii="宋体" w:hAnsi="宋体" w:cs="宋体"/>
                <w:color w:val="000000"/>
                <w:kern w:val="0"/>
                <w:szCs w:val="21"/>
              </w:rPr>
              <w:t xml:space="preserve"> </w:t>
            </w:r>
            <w:r>
              <w:rPr>
                <w:rFonts w:hint="eastAsia" w:ascii="宋体" w:hAnsi="宋体" w:cs="宋体"/>
                <w:color w:val="000000"/>
                <w:kern w:val="0"/>
                <w:szCs w:val="21"/>
              </w:rPr>
              <w:t>通用要求》（</w:t>
            </w:r>
            <w:r>
              <w:rPr>
                <w:rFonts w:ascii="宋体" w:hAnsi="宋体" w:cs="宋体"/>
                <w:color w:val="000000"/>
                <w:kern w:val="0"/>
                <w:szCs w:val="21"/>
              </w:rPr>
              <w:t>GB 12476.1</w:t>
            </w:r>
            <w:r>
              <w:rPr>
                <w:rFonts w:hint="eastAsia" w:ascii="宋体" w:hAnsi="宋体" w:cs="宋体"/>
                <w:color w:val="000000"/>
                <w:kern w:val="0"/>
                <w:szCs w:val="21"/>
              </w:rPr>
              <w:t>）、《可燃性粉尘环境用电气设备</w:t>
            </w:r>
            <w:r>
              <w:rPr>
                <w:rFonts w:ascii="宋体" w:hAnsi="宋体" w:cs="宋体"/>
                <w:color w:val="000000"/>
                <w:kern w:val="0"/>
                <w:szCs w:val="21"/>
              </w:rPr>
              <w:t xml:space="preserve"> </w:t>
            </w:r>
            <w:r>
              <w:rPr>
                <w:rFonts w:hint="eastAsia" w:ascii="宋体" w:hAnsi="宋体" w:cs="宋体"/>
                <w:color w:val="000000"/>
                <w:kern w:val="0"/>
                <w:szCs w:val="21"/>
              </w:rPr>
              <w:t>第</w:t>
            </w:r>
            <w:r>
              <w:rPr>
                <w:rFonts w:ascii="宋体" w:hAnsi="宋体" w:cs="宋体"/>
                <w:color w:val="000000"/>
                <w:kern w:val="0"/>
                <w:szCs w:val="21"/>
              </w:rPr>
              <w:t>2</w:t>
            </w:r>
            <w:r>
              <w:rPr>
                <w:rFonts w:hint="eastAsia" w:ascii="宋体" w:hAnsi="宋体" w:cs="宋体"/>
                <w:color w:val="000000"/>
                <w:kern w:val="0"/>
                <w:szCs w:val="21"/>
              </w:rPr>
              <w:t>部分：选型和安装》（</w:t>
            </w:r>
            <w:r>
              <w:rPr>
                <w:rFonts w:ascii="宋体" w:hAnsi="宋体" w:cs="宋体"/>
                <w:color w:val="000000"/>
                <w:kern w:val="0"/>
                <w:szCs w:val="21"/>
              </w:rPr>
              <w:t>GB 12476.2</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665" w:hRule="atLeast"/>
        </w:trPr>
        <w:tc>
          <w:tcPr>
            <w:tcW w:w="1060" w:type="dxa"/>
            <w:vMerge w:val="restart"/>
            <w:tcBorders>
              <w:top w:val="nil"/>
              <w:left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c>
          <w:tcPr>
            <w:tcW w:w="1448"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电气及防火安全</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3.2</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必须按规范在粉碎、研磨、造粒等易于产生机械点火源的工艺设备，设置去除铁、石等异物的装置（如：选用筛网、筛分装置、吸除分离金属异物的磁选装置等</w:t>
            </w:r>
            <w:r>
              <w:rPr>
                <w:rFonts w:ascii="宋体" w:hAnsi="宋体" w:cs="宋体"/>
                <w:color w:val="000000"/>
                <w:kern w:val="0"/>
                <w:szCs w:val="21"/>
              </w:rPr>
              <w:t xml:space="preserve"> </w:t>
            </w:r>
            <w:r>
              <w:rPr>
                <w:rFonts w:hint="eastAsia" w:ascii="宋体" w:hAnsi="宋体" w:cs="宋体"/>
                <w:color w:val="000000"/>
                <w:kern w:val="0"/>
                <w:szCs w:val="21"/>
              </w:rPr>
              <w:t>）；必须及时清理附着在装置上的异物。</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《饲料加工系统粉尘防爆安全规程》（</w:t>
            </w:r>
            <w:r>
              <w:rPr>
                <w:rFonts w:ascii="宋体" w:hAnsi="宋体" w:cs="宋体"/>
                <w:color w:val="000000"/>
                <w:kern w:val="0"/>
                <w:szCs w:val="21"/>
              </w:rPr>
              <w:t>GB 19081</w:t>
            </w:r>
            <w:r>
              <w:rPr>
                <w:rFonts w:hint="eastAsia" w:ascii="宋体" w:hAnsi="宋体" w:cs="宋体"/>
                <w:color w:val="000000"/>
                <w:kern w:val="0"/>
                <w:szCs w:val="21"/>
              </w:rPr>
              <w:t>）、《粮食加工、储运系统粉尘防爆安全规程》（</w:t>
            </w:r>
            <w:r>
              <w:rPr>
                <w:rFonts w:ascii="宋体" w:hAnsi="宋体" w:cs="宋体"/>
                <w:color w:val="000000"/>
                <w:kern w:val="0"/>
                <w:szCs w:val="21"/>
              </w:rPr>
              <w:t>GB17440</w:t>
            </w:r>
            <w:r>
              <w:rPr>
                <w:rFonts w:hint="eastAsia" w:ascii="宋体" w:hAnsi="宋体" w:cs="宋体"/>
                <w:color w:val="000000"/>
                <w:kern w:val="0"/>
                <w:szCs w:val="21"/>
              </w:rPr>
              <w:t>）、《高炉喷吹烟煤系统防爆安全规程》（</w:t>
            </w:r>
            <w:r>
              <w:rPr>
                <w:rFonts w:ascii="宋体" w:hAnsi="宋体" w:cs="宋体"/>
                <w:color w:val="000000"/>
                <w:kern w:val="0"/>
                <w:szCs w:val="21"/>
              </w:rPr>
              <w:t>GB 16543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923"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3.3</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木制品加工企业，与砂光机连接的风管必须设置火花探测报警装置。</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《木材加工系统粉尘防爆安全规范》（</w:t>
            </w:r>
            <w:r>
              <w:rPr>
                <w:rFonts w:ascii="宋体" w:hAnsi="宋体" w:cs="宋体"/>
                <w:color w:val="000000"/>
                <w:kern w:val="0"/>
                <w:szCs w:val="21"/>
              </w:rPr>
              <w:t>AQ4228</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44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3.4</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粉尘爆炸危险场所除尘系统、金属设备，以及金属管道、支架、构件、部件等防静电措施应符合</w:t>
            </w:r>
            <w:r>
              <w:rPr>
                <w:rFonts w:ascii="宋体" w:hAnsi="宋体" w:cs="宋体"/>
                <w:color w:val="000000"/>
                <w:kern w:val="0"/>
                <w:szCs w:val="21"/>
              </w:rPr>
              <w:t>GB 12158</w:t>
            </w:r>
            <w:r>
              <w:rPr>
                <w:rFonts w:hint="eastAsia" w:ascii="宋体" w:hAnsi="宋体" w:cs="宋体"/>
                <w:color w:val="000000"/>
                <w:kern w:val="0"/>
                <w:szCs w:val="21"/>
              </w:rPr>
              <w:t>的要求，电气设备的保护接地应符合</w:t>
            </w:r>
            <w:r>
              <w:rPr>
                <w:rFonts w:ascii="宋体" w:hAnsi="宋体" w:cs="宋体"/>
                <w:color w:val="000000"/>
                <w:kern w:val="0"/>
                <w:szCs w:val="21"/>
              </w:rPr>
              <w:t>GB 50058</w:t>
            </w:r>
            <w:r>
              <w:rPr>
                <w:rFonts w:hint="eastAsia" w:ascii="宋体" w:hAnsi="宋体" w:cs="宋体"/>
                <w:color w:val="000000"/>
                <w:kern w:val="0"/>
                <w:szCs w:val="21"/>
              </w:rPr>
              <w:t>的要求，除尘系统的风管不得作为电气设备的接地导体</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）、《防止静电事故通用导则》（</w:t>
            </w:r>
            <w:r>
              <w:rPr>
                <w:rFonts w:ascii="宋体" w:hAnsi="宋体" w:cs="宋体"/>
                <w:color w:val="000000"/>
                <w:kern w:val="0"/>
                <w:szCs w:val="21"/>
              </w:rPr>
              <w:t>GB 12158</w:t>
            </w:r>
            <w:r>
              <w:rPr>
                <w:rFonts w:hint="eastAsia" w:ascii="宋体" w:hAnsi="宋体" w:cs="宋体"/>
                <w:color w:val="000000"/>
                <w:kern w:val="0"/>
                <w:szCs w:val="21"/>
              </w:rPr>
              <w:t>）、《爆炸危险环境电力装置设计规范》（</w:t>
            </w:r>
            <w:r>
              <w:rPr>
                <w:rFonts w:ascii="宋体" w:hAnsi="宋体" w:cs="宋体"/>
                <w:color w:val="000000"/>
                <w:kern w:val="0"/>
                <w:szCs w:val="21"/>
              </w:rPr>
              <w:t>GB 50058</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793"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3.5</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动火作业应按照制度的规定审批，动火作业安全应符合</w:t>
            </w:r>
            <w:r>
              <w:rPr>
                <w:rFonts w:ascii="宋体" w:hAnsi="宋体" w:cs="宋体"/>
                <w:color w:val="000000"/>
                <w:kern w:val="0"/>
                <w:szCs w:val="21"/>
              </w:rPr>
              <w:t>GB15577</w:t>
            </w:r>
            <w:r>
              <w:rPr>
                <w:rFonts w:hint="eastAsia" w:ascii="宋体" w:hAnsi="宋体" w:cs="宋体"/>
                <w:color w:val="000000"/>
                <w:kern w:val="0"/>
                <w:szCs w:val="21"/>
              </w:rPr>
              <w:t>的规定；动火作业前，作业区（包括涉爆粉尘设备内部）应进行全面的粉尘清理；动火作业时，作业区生产加工系统（包括除尘系统）应停机；动火作业区不得进行交叉作业。</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714"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3.6</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应按照</w:t>
            </w:r>
            <w:r>
              <w:rPr>
                <w:rFonts w:ascii="宋体" w:hAnsi="宋体" w:cs="宋体"/>
                <w:color w:val="000000"/>
                <w:kern w:val="0"/>
                <w:szCs w:val="21"/>
              </w:rPr>
              <w:t>GB 50140</w:t>
            </w:r>
            <w:r>
              <w:rPr>
                <w:rFonts w:hint="eastAsia" w:ascii="宋体" w:hAnsi="宋体" w:cs="宋体"/>
                <w:color w:val="000000"/>
                <w:kern w:val="0"/>
                <w:szCs w:val="21"/>
              </w:rPr>
              <w:t>的要求配置消防设施及灭火器材，应定期对消防设施及灭火器材进行检查、维护。镁铝等遇湿自燃的金属粉尘发生火灾禁止采用水、二氧化碳、泡沫等灭火器材灭火，应当采用干砂、专用干粉等</w:t>
            </w:r>
            <w:r>
              <w:rPr>
                <w:rFonts w:ascii="宋体" w:hAnsi="宋体" w:cs="宋体"/>
                <w:color w:val="000000"/>
                <w:kern w:val="0"/>
                <w:szCs w:val="21"/>
              </w:rPr>
              <w:t>D</w:t>
            </w:r>
            <w:r>
              <w:rPr>
                <w:rFonts w:hint="eastAsia" w:ascii="宋体" w:hAnsi="宋体" w:cs="宋体"/>
                <w:color w:val="000000"/>
                <w:kern w:val="0"/>
                <w:szCs w:val="21"/>
              </w:rPr>
              <w:t>类金属火灾灭火器材灭火。</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《建筑灭火器配置设计规范》（</w:t>
            </w:r>
            <w:r>
              <w:rPr>
                <w:rFonts w:ascii="宋体" w:hAnsi="宋体" w:cs="宋体"/>
                <w:color w:val="000000"/>
                <w:kern w:val="0"/>
                <w:szCs w:val="21"/>
              </w:rPr>
              <w:t>GB 50140</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560" w:hRule="atLeast"/>
        </w:trPr>
        <w:tc>
          <w:tcPr>
            <w:tcW w:w="10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c>
          <w:tcPr>
            <w:tcW w:w="144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粉尘清理</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4.1</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应制定粉尘清扫制度，制度应明确实施每班、每周、每月进行粉尘清扫的部位及区域，以及清扫过程的作业安全。</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2337" w:hRule="atLeast"/>
        </w:trPr>
        <w:tc>
          <w:tcPr>
            <w:tcW w:w="1060"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w:t>
            </w:r>
          </w:p>
        </w:tc>
        <w:tc>
          <w:tcPr>
            <w:tcW w:w="1448"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粉尘清理</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4.2</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爆炸危险场所建构筑物、生产加工设备积聚尘灰的部位、除尘风管内部、除尘器箱体内部、干式除尘器滤袋、湿式除尘循环用水储水池（箱）、电气设备、监测及监控装置，以及生产作业区域的积尘必须得到有效的清理，不得出现严重积尘、粉尘浆泥堆积和粉尘干湿状况。</w:t>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29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4.3</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不得出现设备泄漏粉尘现象。</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144"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4.4</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遇湿易自燃的铝、镁等金属粉尘的生产、收集、贮存，应采取防止粉料自燃措施或配备防潮防湿设施。</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200" w:hRule="atLeast"/>
        </w:trPr>
        <w:tc>
          <w:tcPr>
            <w:tcW w:w="106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4.5</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回收的铝镁粉尘应当储存在独立干燥、通风良好、远离人群的场所，应采取防水防雨措施，并配备干砂、专用干粉等灭火器材。</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365"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4.6</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企业应加强粉尘爆炸危险场所的通风除尘，保证收尘系统安全可靠运转。收尘设备应先于产尘设备启动，产尘设备停车后收尘设备才能停止运行。</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《铝镁制品机械加工粉尘防爆安全技术规范》（</w:t>
            </w:r>
            <w:r>
              <w:rPr>
                <w:rFonts w:ascii="宋体" w:hAnsi="宋体" w:cs="宋体"/>
                <w:color w:val="000000"/>
                <w:kern w:val="0"/>
                <w:szCs w:val="21"/>
              </w:rPr>
              <w:t>AQ 4272</w:t>
            </w:r>
            <w:r>
              <w:rPr>
                <w:rFonts w:hint="eastAsia" w:ascii="宋体" w:hAnsi="宋体" w:cs="宋体"/>
                <w:color w:val="000000"/>
                <w:kern w:val="0"/>
                <w:szCs w:val="21"/>
              </w:rPr>
              <w:t>）、粉尘爆炸危险场所用除尘系统安全技术规范》（</w:t>
            </w:r>
            <w:r>
              <w:rPr>
                <w:rFonts w:ascii="宋体" w:hAnsi="宋体" w:cs="宋体"/>
                <w:color w:val="000000"/>
                <w:kern w:val="0"/>
                <w:szCs w:val="21"/>
              </w:rPr>
              <w:t>AQ4273</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264"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4.7</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清扫粉尘应当采取措施防止粉尘二次扬起，优先采取负压方式清扫，严禁使用压缩空气吹扫。</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）、《工贸行业可燃性粉尘作业场所工艺设施防爆技术指南（试行）》</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125"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4.8</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存在金属粉尘爆炸危险的场所严禁各类明火和火花产生，禁止使用铁质等易产生火花的工具。</w:t>
            </w:r>
          </w:p>
        </w:tc>
        <w:tc>
          <w:tcPr>
            <w:tcW w:w="3859" w:type="dxa"/>
            <w:gridSpan w:val="3"/>
            <w:tcBorders>
              <w:top w:val="single" w:color="auto" w:sz="4" w:space="0"/>
              <w:left w:val="nil"/>
              <w:bottom w:val="single" w:color="auto" w:sz="4" w:space="0"/>
              <w:right w:val="single" w:color="000000" w:sz="4" w:space="0"/>
            </w:tcBorders>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）、《工贸行业可燃性粉尘作业场所工艺设施防爆技术指南（试行）》</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620" w:hRule="atLeast"/>
        </w:trPr>
        <w:tc>
          <w:tcPr>
            <w:tcW w:w="1060"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5</w:t>
            </w:r>
          </w:p>
        </w:tc>
        <w:tc>
          <w:tcPr>
            <w:tcW w:w="1448" w:type="dxa"/>
            <w:vMerge w:val="restart"/>
            <w:tcBorders>
              <w:top w:val="nil"/>
              <w:left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安全管理</w:t>
            </w: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5.1</w:t>
            </w:r>
          </w:p>
        </w:tc>
        <w:tc>
          <w:tcPr>
            <w:tcW w:w="4406" w:type="dxa"/>
            <w:gridSpan w:val="4"/>
            <w:tcBorders>
              <w:top w:val="single" w:color="auto" w:sz="4" w:space="0"/>
              <w:left w:val="nil"/>
              <w:bottom w:val="single" w:color="auto" w:sz="4" w:space="0"/>
              <w:right w:val="single" w:color="000000" w:sz="4" w:space="0"/>
            </w:tcBorders>
            <w:vAlign w:val="bottom"/>
          </w:tcPr>
          <w:p>
            <w:pPr>
              <w:widowControl/>
              <w:jc w:val="left"/>
              <w:rPr>
                <w:rFonts w:ascii="宋体" w:cs="宋体"/>
                <w:color w:val="000000"/>
                <w:kern w:val="0"/>
                <w:szCs w:val="21"/>
              </w:rPr>
            </w:pPr>
            <w:r>
              <w:rPr>
                <w:rFonts w:hint="eastAsia" w:ascii="宋体" w:hAnsi="宋体" w:cs="宋体"/>
                <w:color w:val="000000"/>
                <w:kern w:val="0"/>
                <w:szCs w:val="21"/>
              </w:rPr>
              <w:t>存在粉尘爆炸危险的企业应当有专人负责金属粉尘防爆安全生产管理工作，并建立粉尘防爆安全生产责任制度、粉尘防爆专项安全生产教育培训制度、粉尘清扫制度等管理制度和安全操作规程。</w:t>
            </w:r>
            <w:r>
              <w:rPr>
                <w:rFonts w:ascii="宋体" w:cs="宋体"/>
                <w:color w:val="000000"/>
                <w:kern w:val="0"/>
                <w:szCs w:val="21"/>
              </w:rPr>
              <w:br w:type="textWrapping"/>
            </w:r>
            <w:r>
              <w:rPr>
                <w:rFonts w:ascii="宋体" w:hAnsi="宋体" w:cs="宋体"/>
                <w:color w:val="000000"/>
                <w:kern w:val="0"/>
                <w:szCs w:val="21"/>
              </w:rPr>
              <w:t xml:space="preserve">  </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《中华人民共和国安全生产法》、《山东省安全生产条例》、《粉尘防爆安全规程》（</w:t>
            </w:r>
            <w:r>
              <w:rPr>
                <w:rFonts w:ascii="宋体" w:hAnsi="宋体" w:cs="宋体"/>
                <w:color w:val="000000"/>
                <w:kern w:val="0"/>
                <w:szCs w:val="21"/>
              </w:rPr>
              <w:t>GB 15577</w:t>
            </w:r>
            <w:r>
              <w:rPr>
                <w:rFonts w:hint="eastAsia" w:ascii="宋体" w:hAnsi="宋体" w:cs="宋体"/>
                <w:color w:val="000000"/>
                <w:kern w:val="0"/>
                <w:szCs w:val="21"/>
              </w:rPr>
              <w:t>）、《山东省生产经营单位安全生产主体责任规定》</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069"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5.2</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企业应当对本企业的粉尘爆炸危险场所进行危险辨识，评估粉尘爆炸的风险，制定并落实消除、控制粉尘爆炸风险的措施。</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《工贸行业较大危险因素辨识与防范指导手册》</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324" w:hRule="atLeast"/>
        </w:trPr>
        <w:tc>
          <w:tcPr>
            <w:tcW w:w="106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5.3</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企业应对涉粉尘爆炸的人员（包括分管负责人、安全生产管理人员、操作人员、设备维护检修人员和应急救援人员）进行防范发生粉尘爆炸事故的专项培训</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《中华人民共和国安全生产法》、《粉尘防爆安全规程》（</w:t>
            </w:r>
            <w:r>
              <w:rPr>
                <w:rFonts w:ascii="宋体" w:hAnsi="宋体" w:cs="宋体"/>
                <w:color w:val="000000"/>
                <w:kern w:val="0"/>
                <w:szCs w:val="21"/>
              </w:rPr>
              <w:t>GB 15577</w:t>
            </w:r>
            <w:r>
              <w:rPr>
                <w:rFonts w:hint="eastAsia" w:ascii="宋体" w:hAnsi="宋体" w:cs="宋体"/>
                <w:color w:val="000000"/>
                <w:kern w:val="0"/>
                <w:szCs w:val="21"/>
              </w:rPr>
              <w:t>）、《山东省生产经营单位安全生产主体责任规定》</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050"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5.4</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在粉尘爆炸危险场所生产作业的人员应当穿戴劳动防护用品，禁止穿戴化纤类易产生静电的劳动防护用品。</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《工贸行业可燃性粉尘作业场所工艺设施防爆技术指南（试行）》</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979"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5.5</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企业应制定及完善安全生产应急预案中针对粉尘涉爆事故的现场处置方案，并进行针对性的培训及演练。</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《中华人民共和国安全生产法》、《山东省安全生产条例》</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073" w:hRule="atLeast"/>
        </w:trPr>
        <w:tc>
          <w:tcPr>
            <w:tcW w:w="1060"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ascii="宋体" w:hAnsi="宋体" w:cs="宋体"/>
                <w:color w:val="000000"/>
                <w:kern w:val="0"/>
                <w:szCs w:val="21"/>
              </w:rPr>
              <w:t>5.6</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企业应按照有关法规标准规定正确使用粉尘涉爆设备（包括按防爆安全要求使用除尘系统），并定期进行维护检修，应建立维护检修管理台帐。</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《粉尘防爆安全规程》（</w:t>
            </w:r>
            <w:r>
              <w:rPr>
                <w:rFonts w:ascii="宋体" w:hAnsi="宋体" w:cs="宋体"/>
                <w:color w:val="000000"/>
                <w:kern w:val="0"/>
                <w:szCs w:val="21"/>
              </w:rPr>
              <w:t>GB 15577</w:t>
            </w:r>
            <w:r>
              <w:rPr>
                <w:rFonts w:hint="eastAsia" w:ascii="宋体" w:hAnsi="宋体" w:cs="宋体"/>
                <w:color w:val="000000"/>
                <w:kern w:val="0"/>
                <w:szCs w:val="21"/>
              </w:rPr>
              <w:t>）</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1114" w:hRule="atLeast"/>
        </w:trPr>
        <w:tc>
          <w:tcPr>
            <w:tcW w:w="106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44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1291"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5.7</w:t>
            </w:r>
          </w:p>
        </w:tc>
        <w:tc>
          <w:tcPr>
            <w:tcW w:w="4406" w:type="dxa"/>
            <w:gridSpan w:val="4"/>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存在粉尘爆炸危险的场所应设置明显的安全警示标志标识、防火标志。</w:t>
            </w:r>
          </w:p>
        </w:tc>
        <w:tc>
          <w:tcPr>
            <w:tcW w:w="3859" w:type="dxa"/>
            <w:gridSpan w:val="3"/>
            <w:tcBorders>
              <w:top w:val="single" w:color="auto" w:sz="4" w:space="0"/>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《中华人民共和国安全生产法》、《山东省安全生产条例》、《山东省生产经营单位安全生产主体责任规定》</w:t>
            </w:r>
          </w:p>
        </w:tc>
        <w:tc>
          <w:tcPr>
            <w:tcW w:w="2087"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c>
          <w:tcPr>
            <w:tcW w:w="196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bl>
    <w:p>
      <w:pPr>
        <w:pStyle w:val="11"/>
        <w:rPr>
          <w:rFonts w:ascii="仿宋" w:hAnsi="仿宋" w:eastAsia="仿宋"/>
          <w:sz w:val="32"/>
          <w:szCs w:val="32"/>
        </w:rPr>
      </w:pPr>
    </w:p>
    <w:p>
      <w:pPr>
        <w:pStyle w:val="11"/>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pPr>
        <w:adjustRightInd w:val="0"/>
        <w:snapToGrid w:val="0"/>
        <w:spacing w:line="500" w:lineRule="exact"/>
        <w:jc w:val="left"/>
        <w:rPr>
          <w:rFonts w:ascii="黑体" w:hAnsi="宋体" w:eastAsia="黑体"/>
          <w:sz w:val="32"/>
          <w:szCs w:val="32"/>
        </w:rPr>
      </w:pPr>
      <w:r>
        <w:rPr>
          <w:rFonts w:hint="eastAsia" w:ascii="黑体" w:hAnsi="宋体" w:eastAsia="黑体"/>
          <w:sz w:val="32"/>
          <w:szCs w:val="32"/>
        </w:rPr>
        <w:t>附件</w:t>
      </w:r>
      <w:r>
        <w:rPr>
          <w:rFonts w:ascii="黑体" w:hAnsi="宋体" w:eastAsia="黑体"/>
          <w:sz w:val="32"/>
          <w:szCs w:val="32"/>
        </w:rPr>
        <w:t>2</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工贸行业涉爆粉尘企业执法检查表</w:t>
      </w:r>
    </w:p>
    <w:p>
      <w:pPr>
        <w:spacing w:line="560" w:lineRule="exact"/>
        <w:rPr>
          <w:rFonts w:ascii="宋体" w:hAnsi="宋体"/>
          <w:szCs w:val="21"/>
          <w:u w:val="single"/>
        </w:rPr>
      </w:pPr>
      <w:r>
        <w:rPr>
          <w:rFonts w:hint="eastAsia" w:ascii="宋体" w:hAnsi="宋体"/>
          <w:szCs w:val="21"/>
        </w:rPr>
        <w:t>企业名称（地址）：</w:t>
      </w:r>
      <w:r>
        <w:rPr>
          <w:rFonts w:ascii="宋体" w:hAnsi="宋体"/>
          <w:szCs w:val="21"/>
          <w:u w:val="single"/>
        </w:rPr>
        <w:t xml:space="preserve">                </w:t>
      </w:r>
      <w:r>
        <w:rPr>
          <w:rFonts w:ascii="宋体" w:hAnsi="宋体"/>
          <w:szCs w:val="21"/>
        </w:rPr>
        <w:t xml:space="preserve"> </w:t>
      </w:r>
      <w:r>
        <w:rPr>
          <w:rFonts w:hint="eastAsia" w:ascii="宋体" w:hAnsi="宋体"/>
          <w:szCs w:val="21"/>
        </w:rPr>
        <w:t>检查单位：</w:t>
      </w:r>
      <w:r>
        <w:rPr>
          <w:rFonts w:ascii="宋体" w:hAnsi="宋体"/>
          <w:szCs w:val="21"/>
          <w:u w:val="single"/>
        </w:rPr>
        <w:t xml:space="preserve">             </w:t>
      </w:r>
      <w:r>
        <w:rPr>
          <w:rFonts w:ascii="宋体" w:hAnsi="宋体"/>
          <w:szCs w:val="21"/>
        </w:rPr>
        <w:t xml:space="preserve"> </w:t>
      </w:r>
      <w:r>
        <w:rPr>
          <w:rFonts w:hint="eastAsia" w:ascii="宋体" w:hAnsi="宋体"/>
          <w:szCs w:val="21"/>
        </w:rPr>
        <w:t>检查人员：</w:t>
      </w:r>
      <w:r>
        <w:rPr>
          <w:rFonts w:ascii="宋体" w:hAnsi="宋体"/>
          <w:szCs w:val="21"/>
          <w:u w:val="single"/>
        </w:rPr>
        <w:t xml:space="preserve">          </w:t>
      </w:r>
      <w:r>
        <w:rPr>
          <w:rFonts w:ascii="宋体" w:hAnsi="宋体"/>
          <w:szCs w:val="21"/>
        </w:rPr>
        <w:t xml:space="preserve"> </w:t>
      </w:r>
      <w:r>
        <w:rPr>
          <w:rFonts w:hint="eastAsia" w:ascii="宋体" w:hAnsi="宋体"/>
          <w:szCs w:val="21"/>
        </w:rPr>
        <w:t>检查日期：</w:t>
      </w:r>
      <w:r>
        <w:rPr>
          <w:rFonts w:ascii="宋体" w:hAnsi="宋体"/>
          <w:szCs w:val="21"/>
          <w:u w:val="single"/>
        </w:rPr>
        <w:t xml:space="preserve">          </w:t>
      </w:r>
    </w:p>
    <w:tbl>
      <w:tblPr>
        <w:tblStyle w:val="7"/>
        <w:tblW w:w="13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8149"/>
        <w:gridCol w:w="2412"/>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6" w:hRule="atLeast"/>
        </w:trPr>
        <w:tc>
          <w:tcPr>
            <w:tcW w:w="1243" w:type="dxa"/>
          </w:tcPr>
          <w:p>
            <w:pPr>
              <w:spacing w:line="560" w:lineRule="exact"/>
              <w:jc w:val="center"/>
              <w:rPr>
                <w:rFonts w:ascii="宋体"/>
                <w:szCs w:val="21"/>
              </w:rPr>
            </w:pPr>
            <w:r>
              <w:rPr>
                <w:rFonts w:hint="eastAsia" w:ascii="宋体" w:hAnsi="宋体"/>
                <w:szCs w:val="21"/>
              </w:rPr>
              <w:t>检查类别</w:t>
            </w:r>
          </w:p>
        </w:tc>
        <w:tc>
          <w:tcPr>
            <w:tcW w:w="8149" w:type="dxa"/>
          </w:tcPr>
          <w:p>
            <w:pPr>
              <w:spacing w:line="560" w:lineRule="exact"/>
              <w:ind w:firstLine="602"/>
              <w:jc w:val="center"/>
              <w:rPr>
                <w:rFonts w:ascii="宋体"/>
                <w:szCs w:val="21"/>
              </w:rPr>
            </w:pPr>
            <w:r>
              <w:rPr>
                <w:rFonts w:hint="eastAsia" w:ascii="宋体" w:hAnsi="宋体"/>
                <w:szCs w:val="21"/>
              </w:rPr>
              <w:t>检查项目</w:t>
            </w:r>
          </w:p>
        </w:tc>
        <w:tc>
          <w:tcPr>
            <w:tcW w:w="2412" w:type="dxa"/>
          </w:tcPr>
          <w:p>
            <w:pPr>
              <w:spacing w:line="560" w:lineRule="exact"/>
              <w:jc w:val="center"/>
              <w:rPr>
                <w:rFonts w:ascii="宋体"/>
                <w:szCs w:val="21"/>
              </w:rPr>
            </w:pPr>
            <w:r>
              <w:rPr>
                <w:rFonts w:hint="eastAsia" w:ascii="宋体" w:hAnsi="宋体"/>
                <w:szCs w:val="21"/>
              </w:rPr>
              <w:t>执法依据</w:t>
            </w:r>
          </w:p>
        </w:tc>
        <w:tc>
          <w:tcPr>
            <w:tcW w:w="2000" w:type="dxa"/>
          </w:tcPr>
          <w:p>
            <w:pPr>
              <w:spacing w:line="560" w:lineRule="exact"/>
              <w:jc w:val="center"/>
              <w:rPr>
                <w:rFonts w:ascii="宋体"/>
                <w:szCs w:val="21"/>
              </w:rPr>
            </w:pPr>
            <w:r>
              <w:rPr>
                <w:rFonts w:hint="eastAsia" w:ascii="宋体" w:hAnsi="宋体"/>
                <w:szCs w:val="21"/>
              </w:rPr>
              <w:t>执法结果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9" w:hRule="atLeast"/>
        </w:trPr>
        <w:tc>
          <w:tcPr>
            <w:tcW w:w="1243" w:type="dxa"/>
            <w:vAlign w:val="center"/>
          </w:tcPr>
          <w:p>
            <w:pPr>
              <w:widowControl/>
              <w:adjustRightInd w:val="0"/>
              <w:snapToGrid w:val="0"/>
              <w:spacing w:line="320" w:lineRule="exact"/>
              <w:jc w:val="center"/>
              <w:rPr>
                <w:rFonts w:ascii="宋体" w:cs="宋体"/>
                <w:b/>
                <w:kern w:val="0"/>
                <w:szCs w:val="21"/>
              </w:rPr>
            </w:pPr>
            <w:r>
              <w:rPr>
                <w:rFonts w:hint="eastAsia" w:ascii="宋体" w:hAnsi="宋体" w:cs="宋体"/>
                <w:b/>
                <w:kern w:val="0"/>
                <w:szCs w:val="21"/>
              </w:rPr>
              <w:t>建构筑物</w:t>
            </w: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1.</w:t>
            </w:r>
            <w:r>
              <w:rPr>
                <w:rFonts w:hint="eastAsia" w:ascii="宋体" w:hAnsi="宋体" w:cs="宋体"/>
                <w:kern w:val="0"/>
                <w:szCs w:val="21"/>
              </w:rPr>
              <w:t>粉尘爆炸危险场所设置在非框架结构的多层建构筑物内或与居民区、员工宿舍、会议室等人员密集场所安全距离不足。</w:t>
            </w:r>
          </w:p>
        </w:tc>
        <w:tc>
          <w:tcPr>
            <w:tcW w:w="2412" w:type="dxa"/>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《安全生产法》第</w:t>
            </w:r>
            <w:r>
              <w:rPr>
                <w:rFonts w:ascii="宋体" w:hAnsi="宋体" w:cs="宋体"/>
                <w:kern w:val="0"/>
                <w:szCs w:val="21"/>
              </w:rPr>
              <w:t>99</w:t>
            </w:r>
            <w:r>
              <w:rPr>
                <w:rFonts w:hint="eastAsia" w:ascii="宋体" w:hAnsi="宋体" w:cs="宋体"/>
                <w:kern w:val="0"/>
                <w:szCs w:val="21"/>
              </w:rPr>
              <w:t>条。</w:t>
            </w: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9" w:hRule="atLeast"/>
        </w:trPr>
        <w:tc>
          <w:tcPr>
            <w:tcW w:w="1243" w:type="dxa"/>
            <w:vMerge w:val="restart"/>
            <w:vAlign w:val="center"/>
          </w:tcPr>
          <w:p>
            <w:pPr>
              <w:jc w:val="center"/>
              <w:rPr>
                <w:rFonts w:ascii="宋体"/>
                <w:b/>
                <w:szCs w:val="21"/>
              </w:rPr>
            </w:pPr>
            <w:r>
              <w:rPr>
                <w:rFonts w:hint="eastAsia" w:ascii="宋体" w:hAnsi="宋体" w:cs="宋体"/>
                <w:b/>
                <w:kern w:val="0"/>
                <w:szCs w:val="21"/>
              </w:rPr>
              <w:t>除尘系统</w:t>
            </w: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2.</w:t>
            </w:r>
            <w:r>
              <w:rPr>
                <w:rFonts w:hint="eastAsia" w:ascii="宋体" w:hAnsi="宋体" w:cs="宋体"/>
                <w:kern w:val="0"/>
                <w:szCs w:val="21"/>
              </w:rPr>
              <w:t>可燃性粉尘与可燃气体等易加剧爆炸危险的介质共用一套除尘系统，不同防火分区的除尘系统互联互通。</w:t>
            </w:r>
          </w:p>
        </w:tc>
        <w:tc>
          <w:tcPr>
            <w:tcW w:w="2412" w:type="dxa"/>
            <w:vMerge w:val="restart"/>
            <w:vAlign w:val="center"/>
          </w:tcPr>
          <w:p>
            <w:pPr>
              <w:widowControl/>
              <w:adjustRightInd w:val="0"/>
              <w:snapToGrid w:val="0"/>
              <w:spacing w:line="320" w:lineRule="exact"/>
              <w:jc w:val="center"/>
              <w:rPr>
                <w:rFonts w:ascii="宋体" w:cs="宋体"/>
                <w:kern w:val="0"/>
                <w:szCs w:val="21"/>
              </w:rPr>
            </w:pPr>
            <w:r>
              <w:rPr>
                <w:rFonts w:hint="eastAsia" w:ascii="宋体" w:hAnsi="宋体" w:cs="宋体"/>
                <w:kern w:val="0"/>
                <w:szCs w:val="21"/>
              </w:rPr>
              <w:t>《安全生产法》</w:t>
            </w:r>
          </w:p>
          <w:p>
            <w:pPr>
              <w:widowControl/>
              <w:adjustRightInd w:val="0"/>
              <w:snapToGrid w:val="0"/>
              <w:spacing w:line="320" w:lineRule="exact"/>
              <w:jc w:val="center"/>
              <w:rPr>
                <w:rFonts w:ascii="宋体" w:cs="宋体"/>
                <w:kern w:val="0"/>
                <w:szCs w:val="21"/>
              </w:rPr>
            </w:pPr>
            <w:r>
              <w:rPr>
                <w:rFonts w:hint="eastAsia" w:ascii="宋体" w:hAnsi="宋体" w:cs="宋体"/>
                <w:kern w:val="0"/>
                <w:szCs w:val="21"/>
              </w:rPr>
              <w:t>第</w:t>
            </w:r>
            <w:r>
              <w:rPr>
                <w:rFonts w:ascii="宋体" w:hAnsi="宋体" w:cs="宋体"/>
                <w:kern w:val="0"/>
                <w:szCs w:val="21"/>
              </w:rPr>
              <w:t>96</w:t>
            </w:r>
            <w:r>
              <w:rPr>
                <w:rFonts w:hint="eastAsia" w:ascii="宋体" w:hAnsi="宋体" w:cs="宋体"/>
                <w:kern w:val="0"/>
                <w:szCs w:val="21"/>
              </w:rPr>
              <w:t>、</w:t>
            </w:r>
            <w:r>
              <w:rPr>
                <w:rFonts w:ascii="宋体" w:hAnsi="宋体" w:cs="宋体"/>
                <w:kern w:val="0"/>
                <w:szCs w:val="21"/>
              </w:rPr>
              <w:t>99</w:t>
            </w:r>
            <w:r>
              <w:rPr>
                <w:rFonts w:hint="eastAsia" w:ascii="宋体" w:hAnsi="宋体" w:cs="宋体"/>
                <w:kern w:val="0"/>
                <w:szCs w:val="21"/>
              </w:rPr>
              <w:t>条。</w:t>
            </w: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0" w:hRule="atLeast"/>
        </w:trPr>
        <w:tc>
          <w:tcPr>
            <w:tcW w:w="1243" w:type="dxa"/>
            <w:vMerge w:val="continue"/>
          </w:tcPr>
          <w:p>
            <w:pPr>
              <w:spacing w:line="560" w:lineRule="exact"/>
              <w:jc w:val="left"/>
              <w:rPr>
                <w:rFonts w:ascii="宋体"/>
                <w:b/>
                <w:szCs w:val="21"/>
              </w:rPr>
            </w:pP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3.</w:t>
            </w:r>
            <w:r>
              <w:rPr>
                <w:rFonts w:hint="eastAsia" w:ascii="宋体" w:hAnsi="宋体" w:cs="宋体"/>
                <w:kern w:val="0"/>
                <w:szCs w:val="21"/>
              </w:rPr>
              <w:t>干式除尘系统未规范采用泄爆、隔爆、惰化、抑爆等任一种控爆措施。</w:t>
            </w:r>
          </w:p>
        </w:tc>
        <w:tc>
          <w:tcPr>
            <w:tcW w:w="2412" w:type="dxa"/>
            <w:vMerge w:val="continue"/>
            <w:vAlign w:val="center"/>
          </w:tcPr>
          <w:p>
            <w:pPr>
              <w:adjustRightInd w:val="0"/>
              <w:snapToGrid w:val="0"/>
              <w:spacing w:line="320" w:lineRule="exact"/>
              <w:ind w:firstLine="525"/>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9" w:hRule="atLeast"/>
        </w:trPr>
        <w:tc>
          <w:tcPr>
            <w:tcW w:w="1243" w:type="dxa"/>
            <w:vMerge w:val="continue"/>
          </w:tcPr>
          <w:p>
            <w:pPr>
              <w:spacing w:line="560" w:lineRule="exact"/>
              <w:jc w:val="left"/>
              <w:rPr>
                <w:rFonts w:ascii="宋体"/>
                <w:b/>
                <w:szCs w:val="21"/>
              </w:rPr>
            </w:pP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4.</w:t>
            </w:r>
            <w:r>
              <w:rPr>
                <w:rFonts w:hint="eastAsia" w:ascii="宋体" w:hAnsi="宋体" w:cs="宋体"/>
                <w:kern w:val="0"/>
                <w:szCs w:val="21"/>
              </w:rPr>
              <w:t>除尘系统采用正压吹送粉尘，且未采取可靠的防范点燃源的措施。</w:t>
            </w:r>
          </w:p>
        </w:tc>
        <w:tc>
          <w:tcPr>
            <w:tcW w:w="2412" w:type="dxa"/>
            <w:vMerge w:val="continue"/>
            <w:vAlign w:val="center"/>
          </w:tcPr>
          <w:p>
            <w:pPr>
              <w:adjustRightInd w:val="0"/>
              <w:snapToGrid w:val="0"/>
              <w:spacing w:line="320" w:lineRule="exact"/>
              <w:ind w:firstLine="525"/>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5" w:hRule="atLeast"/>
        </w:trPr>
        <w:tc>
          <w:tcPr>
            <w:tcW w:w="1243" w:type="dxa"/>
            <w:vMerge w:val="continue"/>
          </w:tcPr>
          <w:p>
            <w:pPr>
              <w:spacing w:line="560" w:lineRule="exact"/>
              <w:jc w:val="left"/>
              <w:rPr>
                <w:rFonts w:ascii="宋体"/>
                <w:b/>
                <w:szCs w:val="21"/>
              </w:rPr>
            </w:pP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5.</w:t>
            </w:r>
            <w:r>
              <w:rPr>
                <w:rFonts w:hint="eastAsia" w:ascii="宋体" w:hAnsi="宋体" w:cs="宋体"/>
                <w:kern w:val="0"/>
                <w:szCs w:val="21"/>
              </w:rPr>
              <w:t>除尘系统采用粉尘沉降室除尘，或者采用干式巷道式构筑物作为除尘风道。</w:t>
            </w:r>
          </w:p>
        </w:tc>
        <w:tc>
          <w:tcPr>
            <w:tcW w:w="2412" w:type="dxa"/>
            <w:vMerge w:val="continue"/>
            <w:vAlign w:val="center"/>
          </w:tcPr>
          <w:p>
            <w:pPr>
              <w:adjustRightInd w:val="0"/>
              <w:snapToGrid w:val="0"/>
              <w:spacing w:line="320" w:lineRule="exact"/>
              <w:ind w:firstLine="525"/>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0" w:hRule="atLeast"/>
        </w:trPr>
        <w:tc>
          <w:tcPr>
            <w:tcW w:w="1243" w:type="dxa"/>
            <w:vMerge w:val="continue"/>
          </w:tcPr>
          <w:p>
            <w:pPr>
              <w:spacing w:line="560" w:lineRule="exact"/>
              <w:jc w:val="left"/>
              <w:rPr>
                <w:rFonts w:ascii="宋体"/>
                <w:b/>
                <w:szCs w:val="21"/>
              </w:rPr>
            </w:pP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6.</w:t>
            </w:r>
            <w:r>
              <w:rPr>
                <w:rFonts w:hint="eastAsia" w:ascii="宋体" w:hAnsi="宋体" w:cs="宋体"/>
                <w:kern w:val="0"/>
                <w:szCs w:val="21"/>
              </w:rPr>
              <w:t>铝镁等金属粉尘及木质粉尘的干式除尘系统未规范设置锁气卸灰装置。</w:t>
            </w:r>
          </w:p>
        </w:tc>
        <w:tc>
          <w:tcPr>
            <w:tcW w:w="2412" w:type="dxa"/>
            <w:vMerge w:val="continue"/>
            <w:vAlign w:val="center"/>
          </w:tcPr>
          <w:p>
            <w:pPr>
              <w:adjustRightInd w:val="0"/>
              <w:snapToGrid w:val="0"/>
              <w:spacing w:line="320" w:lineRule="exact"/>
              <w:ind w:firstLine="525"/>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6" w:hRule="atLeast"/>
        </w:trPr>
        <w:tc>
          <w:tcPr>
            <w:tcW w:w="1243" w:type="dxa"/>
            <w:vMerge w:val="restart"/>
            <w:vAlign w:val="center"/>
          </w:tcPr>
          <w:p>
            <w:pPr>
              <w:jc w:val="center"/>
              <w:rPr>
                <w:rFonts w:ascii="宋体" w:cs="宋体"/>
                <w:b/>
                <w:kern w:val="0"/>
                <w:szCs w:val="21"/>
              </w:rPr>
            </w:pPr>
            <w:r>
              <w:rPr>
                <w:rFonts w:hint="eastAsia" w:ascii="宋体" w:hAnsi="宋体" w:cs="宋体"/>
                <w:b/>
                <w:kern w:val="0"/>
                <w:szCs w:val="21"/>
              </w:rPr>
              <w:t>防火措施</w:t>
            </w: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7.</w:t>
            </w:r>
            <w:r>
              <w:rPr>
                <w:rFonts w:hint="eastAsia" w:ascii="宋体" w:hAnsi="宋体" w:cs="宋体"/>
                <w:kern w:val="0"/>
                <w:szCs w:val="21"/>
              </w:rPr>
              <w:t>粉尘爆炸危险场所的</w:t>
            </w:r>
            <w:r>
              <w:rPr>
                <w:rFonts w:ascii="宋体" w:hAnsi="宋体" w:cs="宋体"/>
                <w:kern w:val="0"/>
                <w:szCs w:val="21"/>
              </w:rPr>
              <w:t>20</w:t>
            </w:r>
            <w:r>
              <w:rPr>
                <w:rFonts w:hint="eastAsia" w:ascii="宋体" w:hAnsi="宋体" w:cs="宋体"/>
                <w:kern w:val="0"/>
                <w:szCs w:val="21"/>
              </w:rPr>
              <w:t>区未使用防爆电气设备设施。</w:t>
            </w:r>
          </w:p>
        </w:tc>
        <w:tc>
          <w:tcPr>
            <w:tcW w:w="2412" w:type="dxa"/>
            <w:vMerge w:val="continue"/>
            <w:vAlign w:val="center"/>
          </w:tcPr>
          <w:p>
            <w:pPr>
              <w:adjustRightInd w:val="0"/>
              <w:snapToGrid w:val="0"/>
              <w:spacing w:line="320" w:lineRule="exact"/>
              <w:ind w:firstLine="525"/>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2" w:hRule="atLeast"/>
        </w:trPr>
        <w:tc>
          <w:tcPr>
            <w:tcW w:w="1243" w:type="dxa"/>
            <w:vMerge w:val="continue"/>
          </w:tcPr>
          <w:p>
            <w:pPr>
              <w:spacing w:line="560" w:lineRule="exact"/>
              <w:jc w:val="left"/>
              <w:rPr>
                <w:rFonts w:ascii="宋体"/>
                <w:b/>
                <w:szCs w:val="21"/>
              </w:rPr>
            </w:pP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8.</w:t>
            </w:r>
            <w:r>
              <w:rPr>
                <w:rFonts w:hint="eastAsia" w:ascii="宋体" w:hAnsi="宋体" w:cs="宋体"/>
                <w:kern w:val="0"/>
                <w:szCs w:val="21"/>
              </w:rPr>
              <w:t>在粉碎、研磨、造粒等易于产生机械点火源的工艺设备前，未按规范设置去除铁、石等异物的装置。</w:t>
            </w:r>
          </w:p>
        </w:tc>
        <w:tc>
          <w:tcPr>
            <w:tcW w:w="2412" w:type="dxa"/>
            <w:vMerge w:val="continue"/>
            <w:vAlign w:val="center"/>
          </w:tcPr>
          <w:p>
            <w:pPr>
              <w:adjustRightInd w:val="0"/>
              <w:snapToGrid w:val="0"/>
              <w:spacing w:line="320" w:lineRule="exact"/>
              <w:ind w:firstLine="525"/>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2" w:hRule="atLeast"/>
        </w:trPr>
        <w:tc>
          <w:tcPr>
            <w:tcW w:w="1243" w:type="dxa"/>
            <w:vMerge w:val="continue"/>
          </w:tcPr>
          <w:p>
            <w:pPr>
              <w:spacing w:line="560" w:lineRule="exact"/>
              <w:jc w:val="left"/>
              <w:rPr>
                <w:rFonts w:ascii="宋体"/>
                <w:b/>
                <w:szCs w:val="21"/>
              </w:rPr>
            </w:pP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9.</w:t>
            </w:r>
            <w:r>
              <w:rPr>
                <w:rFonts w:hint="eastAsia" w:ascii="宋体" w:hAnsi="宋体" w:cs="宋体"/>
                <w:kern w:val="0"/>
                <w:szCs w:val="21"/>
              </w:rPr>
              <w:t>木制品加工企业，与砂光机连接的风管未规范设置火花探测报警装置。</w:t>
            </w:r>
          </w:p>
        </w:tc>
        <w:tc>
          <w:tcPr>
            <w:tcW w:w="2412" w:type="dxa"/>
            <w:vMerge w:val="continue"/>
            <w:vAlign w:val="center"/>
          </w:tcPr>
          <w:p>
            <w:pPr>
              <w:widowControl/>
              <w:adjustRightInd w:val="0"/>
              <w:snapToGrid w:val="0"/>
              <w:spacing w:line="320" w:lineRule="exact"/>
              <w:rPr>
                <w:rFonts w:ascii="宋体" w:cs="宋体"/>
                <w:kern w:val="0"/>
                <w:szCs w:val="21"/>
              </w:rPr>
            </w:pPr>
          </w:p>
        </w:tc>
        <w:tc>
          <w:tcPr>
            <w:tcW w:w="2000" w:type="dxa"/>
          </w:tcPr>
          <w:p>
            <w:pPr>
              <w:spacing w:line="560" w:lineRule="exact"/>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14" w:hRule="atLeast"/>
        </w:trPr>
        <w:tc>
          <w:tcPr>
            <w:tcW w:w="1243" w:type="dxa"/>
            <w:vAlign w:val="center"/>
          </w:tcPr>
          <w:p>
            <w:pPr>
              <w:widowControl/>
              <w:adjustRightInd w:val="0"/>
              <w:snapToGrid w:val="0"/>
              <w:spacing w:line="320" w:lineRule="exact"/>
              <w:jc w:val="center"/>
              <w:rPr>
                <w:rFonts w:ascii="宋体" w:cs="宋体"/>
                <w:b/>
                <w:kern w:val="0"/>
                <w:szCs w:val="21"/>
              </w:rPr>
            </w:pPr>
            <w:r>
              <w:rPr>
                <w:rFonts w:hint="eastAsia" w:ascii="宋体" w:hAnsi="宋体" w:cs="宋体"/>
                <w:b/>
                <w:kern w:val="0"/>
                <w:szCs w:val="21"/>
              </w:rPr>
              <w:t>粉尘清扫</w:t>
            </w:r>
          </w:p>
        </w:tc>
        <w:tc>
          <w:tcPr>
            <w:tcW w:w="8149" w:type="dxa"/>
            <w:vAlign w:val="center"/>
          </w:tcPr>
          <w:p>
            <w:pPr>
              <w:widowControl/>
              <w:adjustRightInd w:val="0"/>
              <w:snapToGrid w:val="0"/>
              <w:spacing w:line="320" w:lineRule="exact"/>
              <w:rPr>
                <w:rFonts w:ascii="宋体" w:cs="宋体"/>
                <w:kern w:val="0"/>
                <w:szCs w:val="21"/>
              </w:rPr>
            </w:pPr>
            <w:r>
              <w:rPr>
                <w:rFonts w:ascii="宋体" w:hAnsi="宋体" w:cs="宋体"/>
                <w:kern w:val="0"/>
                <w:szCs w:val="21"/>
              </w:rPr>
              <w:t>10.</w:t>
            </w:r>
            <w:r>
              <w:rPr>
                <w:rFonts w:hint="eastAsia" w:ascii="宋体" w:hAnsi="宋体" w:cs="宋体"/>
                <w:kern w:val="0"/>
                <w:szCs w:val="21"/>
              </w:rPr>
              <w:t>未制定粉尘清扫制度，作业现场积尘未及时规范清理。</w:t>
            </w:r>
          </w:p>
        </w:tc>
        <w:tc>
          <w:tcPr>
            <w:tcW w:w="2412" w:type="dxa"/>
            <w:vAlign w:val="center"/>
          </w:tcPr>
          <w:p>
            <w:pPr>
              <w:widowControl/>
              <w:adjustRightInd w:val="0"/>
              <w:snapToGrid w:val="0"/>
              <w:spacing w:line="320" w:lineRule="exact"/>
              <w:rPr>
                <w:rFonts w:ascii="宋体" w:cs="宋体"/>
                <w:kern w:val="0"/>
                <w:szCs w:val="21"/>
              </w:rPr>
            </w:pPr>
            <w:r>
              <w:rPr>
                <w:rFonts w:hint="eastAsia" w:ascii="宋体" w:hAnsi="宋体" w:cs="宋体"/>
                <w:kern w:val="0"/>
                <w:szCs w:val="21"/>
              </w:rPr>
              <w:t>《安全生产法》第</w:t>
            </w:r>
            <w:r>
              <w:rPr>
                <w:rFonts w:ascii="宋体" w:hAnsi="宋体" w:cs="宋体"/>
                <w:kern w:val="0"/>
                <w:szCs w:val="21"/>
              </w:rPr>
              <w:t>99</w:t>
            </w:r>
            <w:r>
              <w:rPr>
                <w:rFonts w:hint="eastAsia" w:ascii="宋体" w:hAnsi="宋体" w:cs="宋体"/>
                <w:kern w:val="0"/>
                <w:szCs w:val="21"/>
              </w:rPr>
              <w:t>条。</w:t>
            </w:r>
          </w:p>
        </w:tc>
        <w:tc>
          <w:tcPr>
            <w:tcW w:w="2000" w:type="dxa"/>
          </w:tcPr>
          <w:p>
            <w:pPr>
              <w:spacing w:line="560" w:lineRule="exact"/>
              <w:jc w:val="left"/>
              <w:rPr>
                <w:rFonts w:ascii="宋体"/>
                <w:szCs w:val="21"/>
              </w:rPr>
            </w:pPr>
          </w:p>
        </w:tc>
      </w:tr>
    </w:tbl>
    <w:p>
      <w:pPr>
        <w:adjustRightInd w:val="0"/>
        <w:snapToGrid w:val="0"/>
        <w:spacing w:line="200" w:lineRule="exact"/>
      </w:pPr>
    </w:p>
    <w:p>
      <w:pPr>
        <w:spacing w:line="560" w:lineRule="exact"/>
        <w:jc w:val="left"/>
        <w:rPr>
          <w:rFonts w:ascii="黑体" w:hAnsi="黑体" w:eastAsia="黑体"/>
          <w:color w:val="000000"/>
          <w:sz w:val="28"/>
          <w:szCs w:val="28"/>
        </w:rPr>
        <w:sectPr>
          <w:footerReference r:id="rId5" w:type="first"/>
          <w:footerReference r:id="rId3" w:type="default"/>
          <w:footerReference r:id="rId4" w:type="even"/>
          <w:pgSz w:w="16838" w:h="11906" w:orient="landscape"/>
          <w:pgMar w:top="1134" w:right="1134" w:bottom="1134" w:left="1134" w:header="851" w:footer="833" w:gutter="0"/>
          <w:pgNumType w:fmt="numberInDash"/>
          <w:cols w:space="720" w:num="1"/>
          <w:docGrid w:type="lines" w:linePitch="584" w:charSpace="-3885"/>
        </w:sectPr>
      </w:pPr>
    </w:p>
    <w:p>
      <w:pPr>
        <w:spacing w:afterLines="50" w:line="560" w:lineRule="exact"/>
        <w:rPr>
          <w:rFonts w:ascii="黑体" w:eastAsia="黑体" w:cs="宋体"/>
          <w:bCs/>
          <w:sz w:val="44"/>
          <w:szCs w:val="44"/>
        </w:rPr>
      </w:pPr>
      <w:r>
        <w:rPr>
          <w:rFonts w:hint="eastAsia" w:ascii="黑体" w:hAnsi="宋体" w:eastAsia="黑体" w:cs="宋体"/>
          <w:bCs/>
          <w:sz w:val="32"/>
          <w:szCs w:val="32"/>
        </w:rPr>
        <w:t>附件</w:t>
      </w:r>
      <w:r>
        <w:rPr>
          <w:rFonts w:ascii="黑体" w:hAnsi="宋体" w:eastAsia="黑体" w:cs="宋体"/>
          <w:bCs/>
          <w:sz w:val="32"/>
          <w:szCs w:val="32"/>
        </w:rPr>
        <w:t>3</w:t>
      </w:r>
    </w:p>
    <w:p>
      <w:pPr>
        <w:spacing w:afterLines="50" w:line="560" w:lineRule="exact"/>
        <w:ind w:firstLine="4400" w:firstLineChars="1000"/>
        <w:rPr>
          <w:rFonts w:ascii="方正小标宋简体" w:eastAsia="方正小标宋简体" w:cs="宋体"/>
          <w:bCs/>
          <w:sz w:val="44"/>
          <w:szCs w:val="44"/>
        </w:rPr>
      </w:pPr>
      <w:r>
        <w:rPr>
          <w:rFonts w:hint="eastAsia" w:ascii="方正小标宋简体" w:hAnsi="宋体" w:eastAsia="方正小标宋简体" w:cs="宋体"/>
          <w:bCs/>
          <w:sz w:val="44"/>
          <w:szCs w:val="44"/>
        </w:rPr>
        <w:t>执法检查情况汇总表</w:t>
      </w:r>
    </w:p>
    <w:p>
      <w:pPr>
        <w:spacing w:afterLines="50" w:line="560" w:lineRule="exact"/>
        <w:jc w:val="left"/>
        <w:rPr>
          <w:rFonts w:ascii="宋体" w:cs="宋体"/>
          <w:b/>
          <w:bCs/>
          <w:szCs w:val="21"/>
        </w:rPr>
      </w:pPr>
      <w:r>
        <w:rPr>
          <w:rFonts w:ascii="??_GB2312" w:eastAsia="Times New Roman"/>
          <w:color w:val="000000"/>
          <w:szCs w:val="21"/>
          <w:u w:val="single"/>
        </w:rPr>
        <w:t xml:space="preserve">  </w:t>
      </w:r>
      <w:r>
        <w:rPr>
          <w:rFonts w:ascii="仿宋" w:hAnsi="仿宋"/>
          <w:color w:val="000000"/>
          <w:szCs w:val="21"/>
          <w:u w:val="single"/>
        </w:rPr>
        <w:t xml:space="preserve">    </w:t>
      </w:r>
      <w:r>
        <w:rPr>
          <w:rFonts w:hint="eastAsia" w:ascii="仿宋" w:hAnsi="仿宋"/>
          <w:color w:val="000000"/>
          <w:szCs w:val="21"/>
          <w:lang w:eastAsia="zh-CN"/>
        </w:rPr>
        <w:t>乡镇</w:t>
      </w:r>
      <w:r>
        <w:rPr>
          <w:rFonts w:hint="eastAsia" w:ascii="仿宋" w:hAnsi="仿宋"/>
          <w:color w:val="000000"/>
          <w:szCs w:val="21"/>
        </w:rPr>
        <w:t>（</w:t>
      </w:r>
      <w:r>
        <w:rPr>
          <w:rFonts w:hint="eastAsia" w:ascii="仿宋" w:hAnsi="仿宋"/>
          <w:color w:val="000000"/>
          <w:szCs w:val="21"/>
          <w:lang w:eastAsia="zh-CN"/>
        </w:rPr>
        <w:t>街道）安监所、园区安监局</w:t>
      </w:r>
      <w:r>
        <w:rPr>
          <w:rFonts w:hint="eastAsia" w:ascii="仿宋" w:hAnsi="仿宋"/>
          <w:color w:val="000000"/>
          <w:szCs w:val="21"/>
        </w:rPr>
        <w:t>（盖章）</w:t>
      </w:r>
      <w:r>
        <w:rPr>
          <w:rFonts w:ascii="仿宋" w:hAnsi="仿宋"/>
          <w:color w:val="000000"/>
          <w:szCs w:val="21"/>
        </w:rPr>
        <w:t xml:space="preserve">          </w:t>
      </w:r>
      <w:r>
        <w:rPr>
          <w:rFonts w:hint="eastAsia" w:ascii="仿宋" w:hAnsi="仿宋"/>
          <w:color w:val="000000"/>
          <w:szCs w:val="21"/>
        </w:rPr>
        <w:t>填表人：</w:t>
      </w:r>
      <w:r>
        <w:rPr>
          <w:rFonts w:ascii="仿宋" w:hAnsi="仿宋"/>
          <w:color w:val="000000"/>
          <w:szCs w:val="21"/>
        </w:rPr>
        <w:t xml:space="preserve">                     </w:t>
      </w:r>
      <w:r>
        <w:rPr>
          <w:rFonts w:hint="eastAsia" w:ascii="仿宋" w:hAnsi="仿宋"/>
          <w:color w:val="000000"/>
          <w:szCs w:val="21"/>
        </w:rPr>
        <w:t>填表日期：</w:t>
      </w:r>
    </w:p>
    <w:tbl>
      <w:tblPr>
        <w:tblStyle w:val="7"/>
        <w:tblpPr w:leftFromText="180" w:rightFromText="180" w:vertAnchor="page" w:horzAnchor="page" w:tblpX="1422" w:tblpY="4065"/>
        <w:tblOverlap w:val="never"/>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2410"/>
        <w:gridCol w:w="1418"/>
        <w:gridCol w:w="1059"/>
        <w:gridCol w:w="1767"/>
        <w:gridCol w:w="175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exact"/>
        </w:trPr>
        <w:tc>
          <w:tcPr>
            <w:tcW w:w="1101" w:type="dxa"/>
            <w:vAlign w:val="center"/>
          </w:tcPr>
          <w:p>
            <w:pPr>
              <w:spacing w:line="400" w:lineRule="exact"/>
              <w:jc w:val="center"/>
              <w:rPr>
                <w:rFonts w:ascii="仿宋" w:hAnsi="仿宋" w:eastAsia="仿宋"/>
                <w:color w:val="000000"/>
                <w:szCs w:val="21"/>
              </w:rPr>
            </w:pPr>
            <w:r>
              <w:rPr>
                <w:rFonts w:hint="eastAsia" w:ascii="仿宋" w:hAnsi="仿宋"/>
                <w:color w:val="000000"/>
                <w:szCs w:val="21"/>
              </w:rPr>
              <w:t>企业自查隐患数（条）</w:t>
            </w:r>
          </w:p>
        </w:tc>
        <w:tc>
          <w:tcPr>
            <w:tcW w:w="2409" w:type="dxa"/>
            <w:vAlign w:val="center"/>
          </w:tcPr>
          <w:p>
            <w:pPr>
              <w:spacing w:line="400" w:lineRule="exact"/>
              <w:jc w:val="center"/>
              <w:rPr>
                <w:rFonts w:ascii="仿宋" w:eastAsia="仿宋"/>
                <w:color w:val="000000"/>
                <w:szCs w:val="21"/>
              </w:rPr>
            </w:pPr>
            <w:r>
              <w:rPr>
                <w:rFonts w:hint="eastAsia" w:ascii="仿宋" w:hAnsi="仿宋"/>
                <w:color w:val="000000"/>
                <w:szCs w:val="21"/>
              </w:rPr>
              <w:t>检查发现隐患数（条）</w:t>
            </w:r>
          </w:p>
        </w:tc>
        <w:tc>
          <w:tcPr>
            <w:tcW w:w="2410" w:type="dxa"/>
            <w:vAlign w:val="center"/>
          </w:tcPr>
          <w:p>
            <w:pPr>
              <w:spacing w:line="400" w:lineRule="exact"/>
              <w:jc w:val="center"/>
              <w:rPr>
                <w:rFonts w:ascii="仿宋" w:eastAsia="仿宋"/>
                <w:color w:val="000000"/>
                <w:szCs w:val="21"/>
              </w:rPr>
            </w:pPr>
          </w:p>
          <w:p>
            <w:pPr>
              <w:spacing w:line="400" w:lineRule="exact"/>
              <w:jc w:val="center"/>
              <w:rPr>
                <w:rFonts w:ascii="仿宋" w:eastAsia="仿宋"/>
                <w:color w:val="000000"/>
                <w:szCs w:val="21"/>
              </w:rPr>
            </w:pPr>
            <w:r>
              <w:rPr>
                <w:rFonts w:hint="eastAsia" w:ascii="仿宋" w:hAnsi="仿宋"/>
                <w:color w:val="000000"/>
                <w:szCs w:val="21"/>
              </w:rPr>
              <w:t>行政执法次数</w:t>
            </w:r>
          </w:p>
          <w:p>
            <w:pPr>
              <w:spacing w:line="400" w:lineRule="exact"/>
              <w:jc w:val="center"/>
              <w:rPr>
                <w:rFonts w:ascii="仿宋" w:eastAsia="仿宋"/>
                <w:color w:val="000000"/>
                <w:szCs w:val="21"/>
              </w:rPr>
            </w:pPr>
          </w:p>
        </w:tc>
        <w:tc>
          <w:tcPr>
            <w:tcW w:w="1418" w:type="dxa"/>
            <w:vAlign w:val="center"/>
          </w:tcPr>
          <w:p>
            <w:pPr>
              <w:spacing w:line="400" w:lineRule="exact"/>
              <w:jc w:val="center"/>
              <w:rPr>
                <w:rFonts w:ascii="仿宋" w:eastAsia="仿宋"/>
                <w:color w:val="000000"/>
                <w:szCs w:val="21"/>
              </w:rPr>
            </w:pPr>
            <w:r>
              <w:rPr>
                <w:rFonts w:hint="eastAsia" w:ascii="仿宋" w:hAnsi="仿宋"/>
                <w:color w:val="000000"/>
                <w:szCs w:val="21"/>
              </w:rPr>
              <w:t>停产整改企业数</w:t>
            </w:r>
          </w:p>
        </w:tc>
        <w:tc>
          <w:tcPr>
            <w:tcW w:w="1059" w:type="dxa"/>
            <w:vAlign w:val="center"/>
          </w:tcPr>
          <w:p>
            <w:pPr>
              <w:widowControl/>
              <w:jc w:val="left"/>
              <w:rPr>
                <w:rFonts w:ascii="仿宋" w:eastAsia="仿宋"/>
                <w:color w:val="000000"/>
                <w:szCs w:val="21"/>
              </w:rPr>
            </w:pPr>
            <w:r>
              <w:rPr>
                <w:rFonts w:hint="eastAsia" w:ascii="仿宋" w:hAnsi="仿宋"/>
                <w:color w:val="000000"/>
                <w:szCs w:val="21"/>
              </w:rPr>
              <w:t>立案数</w:t>
            </w:r>
          </w:p>
          <w:p>
            <w:pPr>
              <w:spacing w:line="400" w:lineRule="exact"/>
              <w:jc w:val="center"/>
              <w:rPr>
                <w:rFonts w:ascii="仿宋" w:eastAsia="仿宋"/>
                <w:color w:val="000000"/>
                <w:szCs w:val="21"/>
              </w:rPr>
            </w:pPr>
          </w:p>
        </w:tc>
        <w:tc>
          <w:tcPr>
            <w:tcW w:w="1767" w:type="dxa"/>
            <w:vAlign w:val="center"/>
          </w:tcPr>
          <w:p>
            <w:pPr>
              <w:spacing w:line="400" w:lineRule="exact"/>
              <w:jc w:val="center"/>
              <w:rPr>
                <w:rFonts w:ascii="仿宋" w:eastAsia="仿宋"/>
                <w:color w:val="000000"/>
                <w:szCs w:val="21"/>
              </w:rPr>
            </w:pPr>
            <w:bookmarkStart w:id="1" w:name="_GoBack"/>
            <w:bookmarkEnd w:id="1"/>
            <w:r>
              <w:rPr>
                <w:rFonts w:hint="eastAsia" w:ascii="仿宋" w:hAnsi="仿宋"/>
                <w:color w:val="000000"/>
                <w:szCs w:val="21"/>
              </w:rPr>
              <w:t>行政罚款总数</w:t>
            </w:r>
          </w:p>
          <w:p>
            <w:pPr>
              <w:spacing w:line="400" w:lineRule="exact"/>
              <w:jc w:val="center"/>
              <w:rPr>
                <w:rFonts w:ascii="仿宋" w:hAnsi="仿宋" w:eastAsia="仿宋"/>
                <w:color w:val="000000"/>
                <w:szCs w:val="21"/>
              </w:rPr>
            </w:pPr>
            <w:r>
              <w:rPr>
                <w:rFonts w:hint="eastAsia" w:ascii="仿宋" w:hAnsi="仿宋"/>
                <w:color w:val="000000"/>
                <w:szCs w:val="21"/>
              </w:rPr>
              <w:t>（万元）</w:t>
            </w:r>
          </w:p>
        </w:tc>
        <w:tc>
          <w:tcPr>
            <w:tcW w:w="1752" w:type="dxa"/>
            <w:vAlign w:val="center"/>
          </w:tcPr>
          <w:p>
            <w:pPr>
              <w:spacing w:line="400" w:lineRule="exact"/>
              <w:jc w:val="center"/>
              <w:rPr>
                <w:rFonts w:ascii="仿宋" w:eastAsia="仿宋"/>
                <w:color w:val="000000"/>
                <w:szCs w:val="21"/>
              </w:rPr>
            </w:pPr>
            <w:r>
              <w:rPr>
                <w:rFonts w:hint="eastAsia" w:ascii="仿宋" w:hAnsi="仿宋"/>
                <w:color w:val="000000"/>
                <w:szCs w:val="21"/>
              </w:rPr>
              <w:t>未完成</w:t>
            </w:r>
          </w:p>
          <w:p>
            <w:pPr>
              <w:spacing w:line="400" w:lineRule="exact"/>
              <w:jc w:val="center"/>
              <w:rPr>
                <w:rFonts w:ascii="仿宋" w:hAnsi="仿宋" w:eastAsia="仿宋"/>
                <w:color w:val="000000"/>
                <w:szCs w:val="21"/>
              </w:rPr>
            </w:pPr>
            <w:r>
              <w:rPr>
                <w:rFonts w:hint="eastAsia" w:ascii="仿宋" w:hAnsi="仿宋"/>
                <w:color w:val="000000"/>
                <w:szCs w:val="21"/>
              </w:rPr>
              <w:t>整改企业数（家）</w:t>
            </w:r>
          </w:p>
        </w:tc>
        <w:tc>
          <w:tcPr>
            <w:tcW w:w="1736" w:type="dxa"/>
            <w:vAlign w:val="center"/>
          </w:tcPr>
          <w:p>
            <w:pPr>
              <w:spacing w:line="400" w:lineRule="exact"/>
              <w:jc w:val="center"/>
              <w:rPr>
                <w:rFonts w:ascii="仿宋" w:eastAsia="仿宋"/>
                <w:color w:val="000000"/>
                <w:szCs w:val="21"/>
              </w:rPr>
            </w:pPr>
            <w:r>
              <w:rPr>
                <w:rFonts w:hint="eastAsia" w:ascii="仿宋" w:hAnsi="仿宋"/>
                <w:color w:val="000000"/>
                <w:szCs w:val="21"/>
              </w:rPr>
              <w:t>企业未完成</w:t>
            </w:r>
          </w:p>
          <w:p>
            <w:pPr>
              <w:spacing w:line="400" w:lineRule="exact"/>
              <w:jc w:val="center"/>
              <w:rPr>
                <w:rFonts w:ascii="仿宋" w:hAnsi="仿宋" w:eastAsia="仿宋"/>
                <w:color w:val="000000"/>
                <w:szCs w:val="21"/>
              </w:rPr>
            </w:pPr>
            <w:r>
              <w:rPr>
                <w:rFonts w:hint="eastAsia" w:ascii="仿宋" w:hAnsi="仿宋"/>
                <w:color w:val="000000"/>
                <w:szCs w:val="21"/>
              </w:rPr>
              <w:t>整改隐患数（条）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trPr>
        <w:tc>
          <w:tcPr>
            <w:tcW w:w="1101" w:type="dxa"/>
            <w:vAlign w:val="center"/>
          </w:tcPr>
          <w:p>
            <w:pPr>
              <w:rPr>
                <w:rFonts w:ascii="仿宋" w:eastAsia="仿宋"/>
                <w:color w:val="000000"/>
                <w:szCs w:val="21"/>
              </w:rPr>
            </w:pPr>
          </w:p>
        </w:tc>
        <w:tc>
          <w:tcPr>
            <w:tcW w:w="2409" w:type="dxa"/>
            <w:vAlign w:val="center"/>
          </w:tcPr>
          <w:p>
            <w:pPr>
              <w:jc w:val="center"/>
              <w:rPr>
                <w:rFonts w:ascii="仿宋" w:eastAsia="仿宋"/>
                <w:color w:val="000000"/>
                <w:szCs w:val="21"/>
              </w:rPr>
            </w:pPr>
          </w:p>
        </w:tc>
        <w:tc>
          <w:tcPr>
            <w:tcW w:w="2410" w:type="dxa"/>
            <w:vAlign w:val="center"/>
          </w:tcPr>
          <w:p>
            <w:pPr>
              <w:jc w:val="center"/>
              <w:rPr>
                <w:rFonts w:ascii="仿宋" w:eastAsia="仿宋"/>
                <w:color w:val="000000"/>
                <w:szCs w:val="21"/>
              </w:rPr>
            </w:pPr>
          </w:p>
        </w:tc>
        <w:tc>
          <w:tcPr>
            <w:tcW w:w="1418" w:type="dxa"/>
            <w:vAlign w:val="center"/>
          </w:tcPr>
          <w:p>
            <w:pPr>
              <w:jc w:val="center"/>
              <w:rPr>
                <w:rFonts w:ascii="仿宋" w:eastAsia="仿宋"/>
                <w:color w:val="000000"/>
                <w:szCs w:val="21"/>
              </w:rPr>
            </w:pPr>
          </w:p>
        </w:tc>
        <w:tc>
          <w:tcPr>
            <w:tcW w:w="1059" w:type="dxa"/>
            <w:vAlign w:val="center"/>
          </w:tcPr>
          <w:p>
            <w:pPr>
              <w:jc w:val="center"/>
              <w:rPr>
                <w:rFonts w:ascii="仿宋" w:eastAsia="仿宋"/>
                <w:color w:val="000000"/>
                <w:szCs w:val="21"/>
              </w:rPr>
            </w:pPr>
          </w:p>
        </w:tc>
        <w:tc>
          <w:tcPr>
            <w:tcW w:w="1767" w:type="dxa"/>
            <w:vAlign w:val="center"/>
          </w:tcPr>
          <w:p>
            <w:pPr>
              <w:jc w:val="center"/>
              <w:rPr>
                <w:rFonts w:ascii="仿宋" w:eastAsia="仿宋"/>
                <w:color w:val="000000"/>
                <w:szCs w:val="21"/>
              </w:rPr>
            </w:pPr>
          </w:p>
        </w:tc>
        <w:tc>
          <w:tcPr>
            <w:tcW w:w="1752" w:type="dxa"/>
            <w:vAlign w:val="center"/>
          </w:tcPr>
          <w:p>
            <w:pPr>
              <w:jc w:val="center"/>
              <w:rPr>
                <w:rFonts w:ascii="仿宋" w:eastAsia="仿宋"/>
                <w:color w:val="000000"/>
                <w:szCs w:val="21"/>
              </w:rPr>
            </w:pPr>
          </w:p>
        </w:tc>
        <w:tc>
          <w:tcPr>
            <w:tcW w:w="1736" w:type="dxa"/>
            <w:vAlign w:val="center"/>
          </w:tcPr>
          <w:p>
            <w:pPr>
              <w:jc w:val="center"/>
              <w:rPr>
                <w:rFonts w:ascii="仿宋" w:eastAsia="仿宋"/>
                <w:color w:val="000000"/>
                <w:szCs w:val="21"/>
              </w:rPr>
            </w:pPr>
          </w:p>
        </w:tc>
      </w:tr>
    </w:tbl>
    <w:p>
      <w:pPr>
        <w:spacing w:line="560" w:lineRule="exact"/>
        <w:rPr>
          <w:rFonts w:ascii="仿宋" w:eastAsia="仿宋"/>
          <w:color w:val="000000"/>
          <w:sz w:val="28"/>
          <w:szCs w:val="28"/>
        </w:rPr>
      </w:pPr>
      <w:r>
        <w:rPr>
          <w:rFonts w:ascii="仿宋" w:hAnsi="仿宋"/>
          <w:color w:val="000000"/>
          <w:sz w:val="28"/>
          <w:szCs w:val="28"/>
        </w:rPr>
        <w:t xml:space="preserve">             </w:t>
      </w:r>
    </w:p>
    <w:p>
      <w:pPr>
        <w:pStyle w:val="11"/>
        <w:rPr>
          <w:rFonts w:ascii="仿宋" w:hAnsi="仿宋" w:eastAsia="仿宋"/>
          <w:sz w:val="32"/>
          <w:szCs w:val="32"/>
        </w:rPr>
      </w:pPr>
    </w:p>
    <w:p>
      <w:pPr>
        <w:pStyle w:val="11"/>
        <w:rPr>
          <w:rFonts w:ascii="仿宋" w:hAnsi="仿宋" w:eastAsia="仿宋"/>
          <w:sz w:val="32"/>
          <w:szCs w:val="32"/>
        </w:rPr>
      </w:pPr>
    </w:p>
    <w:p>
      <w:pPr>
        <w:pStyle w:val="11"/>
        <w:rPr>
          <w:rFonts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w:t>
    </w:r>
    <w:r>
      <w:t xml:space="preserve"> 1 -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90B"/>
    <w:rsid w:val="00002962"/>
    <w:rsid w:val="0000418B"/>
    <w:rsid w:val="00033FB4"/>
    <w:rsid w:val="00043269"/>
    <w:rsid w:val="000D32C7"/>
    <w:rsid w:val="000E2329"/>
    <w:rsid w:val="000F0C3F"/>
    <w:rsid w:val="001F7618"/>
    <w:rsid w:val="00212566"/>
    <w:rsid w:val="002227B5"/>
    <w:rsid w:val="00255784"/>
    <w:rsid w:val="002C174A"/>
    <w:rsid w:val="002E7048"/>
    <w:rsid w:val="002F7710"/>
    <w:rsid w:val="00332A7D"/>
    <w:rsid w:val="0034551A"/>
    <w:rsid w:val="00347555"/>
    <w:rsid w:val="003653E3"/>
    <w:rsid w:val="004468D8"/>
    <w:rsid w:val="0044705A"/>
    <w:rsid w:val="00497B16"/>
    <w:rsid w:val="004B1D8D"/>
    <w:rsid w:val="004B23DD"/>
    <w:rsid w:val="004C003B"/>
    <w:rsid w:val="004F4FE1"/>
    <w:rsid w:val="005101CE"/>
    <w:rsid w:val="005951CF"/>
    <w:rsid w:val="005B0847"/>
    <w:rsid w:val="005C2E7F"/>
    <w:rsid w:val="005D2CAC"/>
    <w:rsid w:val="0060235F"/>
    <w:rsid w:val="0061656E"/>
    <w:rsid w:val="006168D7"/>
    <w:rsid w:val="006D6E2B"/>
    <w:rsid w:val="006F13B6"/>
    <w:rsid w:val="0071790B"/>
    <w:rsid w:val="007268B7"/>
    <w:rsid w:val="00732544"/>
    <w:rsid w:val="007602F0"/>
    <w:rsid w:val="00786B82"/>
    <w:rsid w:val="007B12F6"/>
    <w:rsid w:val="007C18FD"/>
    <w:rsid w:val="007D60E4"/>
    <w:rsid w:val="007D73A0"/>
    <w:rsid w:val="00813260"/>
    <w:rsid w:val="0082074C"/>
    <w:rsid w:val="00874D5C"/>
    <w:rsid w:val="008863A8"/>
    <w:rsid w:val="008B5A9A"/>
    <w:rsid w:val="008C051B"/>
    <w:rsid w:val="008D0662"/>
    <w:rsid w:val="00947B45"/>
    <w:rsid w:val="0095027B"/>
    <w:rsid w:val="00983A26"/>
    <w:rsid w:val="009E787C"/>
    <w:rsid w:val="00A5401A"/>
    <w:rsid w:val="00A56C42"/>
    <w:rsid w:val="00A665E5"/>
    <w:rsid w:val="00AA5F61"/>
    <w:rsid w:val="00AA7BDB"/>
    <w:rsid w:val="00AE4BF2"/>
    <w:rsid w:val="00AF0E94"/>
    <w:rsid w:val="00AF43C1"/>
    <w:rsid w:val="00B3304D"/>
    <w:rsid w:val="00B935A3"/>
    <w:rsid w:val="00BA1016"/>
    <w:rsid w:val="00BA4FA5"/>
    <w:rsid w:val="00C148CC"/>
    <w:rsid w:val="00C51922"/>
    <w:rsid w:val="00CF0B26"/>
    <w:rsid w:val="00D14590"/>
    <w:rsid w:val="00D16E5E"/>
    <w:rsid w:val="00D34492"/>
    <w:rsid w:val="00D50061"/>
    <w:rsid w:val="00DA0C8C"/>
    <w:rsid w:val="00DA5AB2"/>
    <w:rsid w:val="00DC6A95"/>
    <w:rsid w:val="00E14069"/>
    <w:rsid w:val="00E44C0E"/>
    <w:rsid w:val="00E97600"/>
    <w:rsid w:val="00E97C61"/>
    <w:rsid w:val="00ED544A"/>
    <w:rsid w:val="00F01B33"/>
    <w:rsid w:val="00F06863"/>
    <w:rsid w:val="00F130A3"/>
    <w:rsid w:val="00F570AF"/>
    <w:rsid w:val="00F60AFA"/>
    <w:rsid w:val="00F743D1"/>
    <w:rsid w:val="00FA0AB7"/>
    <w:rsid w:val="00FC26D2"/>
    <w:rsid w:val="51763B83"/>
    <w:rsid w:val="61370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0"/>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semiHidden/>
    <w:uiPriority w:val="99"/>
    <w:pPr>
      <w:ind w:left="100" w:leftChars="25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rPr>
      <w:rFonts w:cs="Times New Roman"/>
    </w:rPr>
  </w:style>
  <w:style w:type="character" w:customStyle="1" w:styleId="10">
    <w:name w:val="Heading 2 Char"/>
    <w:basedOn w:val="8"/>
    <w:link w:val="2"/>
    <w:locked/>
    <w:uiPriority w:val="99"/>
    <w:rPr>
      <w:rFonts w:ascii="宋体" w:hAnsi="宋体" w:eastAsia="宋体" w:cs="宋体"/>
      <w:b/>
      <w:bCs/>
      <w:kern w:val="0"/>
      <w:sz w:val="36"/>
      <w:szCs w:val="36"/>
    </w:rPr>
  </w:style>
  <w:style w:type="paragraph" w:styleId="11">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
    <w:name w:val="Date Char"/>
    <w:basedOn w:val="8"/>
    <w:link w:val="3"/>
    <w:semiHidden/>
    <w:qFormat/>
    <w:locked/>
    <w:uiPriority w:val="99"/>
    <w:rPr>
      <w:rFonts w:cs="Times New Roman"/>
    </w:rPr>
  </w:style>
  <w:style w:type="character" w:customStyle="1" w:styleId="13">
    <w:name w:val="Header Char"/>
    <w:basedOn w:val="8"/>
    <w:link w:val="5"/>
    <w:semiHidden/>
    <w:qFormat/>
    <w:locked/>
    <w:uiPriority w:val="99"/>
    <w:rPr>
      <w:rFonts w:cs="Times New Roman"/>
      <w:sz w:val="18"/>
      <w:szCs w:val="18"/>
    </w:rPr>
  </w:style>
  <w:style w:type="character" w:customStyle="1" w:styleId="14">
    <w:name w:val="Footer Char"/>
    <w:basedOn w:val="8"/>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1101</Words>
  <Characters>6277</Characters>
  <Lines>0</Lines>
  <Paragraphs>0</Paragraphs>
  <TotalTime>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2019-04-28T02:49:00Z</dcterms:created>
  <dc:creator>Administrator</dc:creator>
  <cp:lastModifiedBy>Administrator</cp:lastModifiedBy>
  <cp:lastPrinted>2019-04-21T06:43:00Z</cp:lastPrinted>
  <dcterms:modified xsi:type="dcterms:W3CDTF">2019-05-05T09:20:19Z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