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ind w:firstLine="643"/>
        <w:jc w:val="center"/>
        <w:rPr>
          <w:rFonts w:ascii="黑体" w:hAnsi="黑体" w:eastAsia="黑体"/>
          <w:b/>
          <w:sz w:val="32"/>
        </w:rPr>
      </w:pPr>
      <w:bookmarkStart w:id="0" w:name="_Toc429733461"/>
    </w:p>
    <w:p>
      <w:pPr>
        <w:pStyle w:val="25"/>
        <w:ind w:firstLine="643"/>
        <w:jc w:val="center"/>
        <w:rPr>
          <w:rFonts w:ascii="黑体" w:hAnsi="黑体" w:eastAsia="黑体"/>
          <w:b/>
          <w:sz w:val="32"/>
        </w:rPr>
      </w:pPr>
    </w:p>
    <w:p>
      <w:pPr>
        <w:pStyle w:val="25"/>
        <w:ind w:firstLine="643"/>
        <w:jc w:val="center"/>
        <w:rPr>
          <w:rFonts w:ascii="黑体" w:hAnsi="黑体" w:eastAsia="黑体"/>
          <w:b/>
          <w:sz w:val="44"/>
          <w:szCs w:val="44"/>
        </w:rPr>
      </w:pPr>
      <w:bookmarkStart w:id="1" w:name="_Toc518775286"/>
      <w:bookmarkStart w:id="2" w:name="_Toc518912598"/>
      <w:bookmarkStart w:id="3" w:name="_Toc518939680"/>
      <w:bookmarkStart w:id="4" w:name="_Toc517172075"/>
      <w:bookmarkStart w:id="5" w:name="_Toc517172826"/>
      <w:r>
        <w:rPr>
          <w:rFonts w:hint="eastAsia" w:ascii="黑体" w:hAnsi="黑体" w:eastAsia="黑体"/>
          <w:b/>
          <w:sz w:val="44"/>
          <w:szCs w:val="44"/>
        </w:rPr>
        <w:t>灌云县2017年基本公共卫生服务项目</w:t>
      </w:r>
    </w:p>
    <w:p>
      <w:pPr>
        <w:pStyle w:val="25"/>
        <w:ind w:firstLine="643"/>
        <w:jc w:val="center"/>
        <w:rPr>
          <w:rFonts w:ascii="黑体" w:hAnsi="黑体" w:eastAsia="黑体"/>
          <w:b/>
          <w:sz w:val="44"/>
          <w:szCs w:val="44"/>
        </w:rPr>
      </w:pPr>
      <w:r>
        <w:rPr>
          <w:rFonts w:hint="eastAsia" w:ascii="黑体" w:hAnsi="黑体" w:eastAsia="黑体"/>
          <w:b/>
          <w:sz w:val="44"/>
          <w:szCs w:val="44"/>
        </w:rPr>
        <w:t>绩效评价报告</w:t>
      </w:r>
      <w:bookmarkEnd w:id="1"/>
      <w:bookmarkEnd w:id="2"/>
      <w:bookmarkEnd w:id="3"/>
      <w:bookmarkEnd w:id="4"/>
      <w:bookmarkEnd w:id="5"/>
    </w:p>
    <w:p>
      <w:pPr>
        <w:widowControl/>
        <w:overflowPunct w:val="0"/>
        <w:autoSpaceDE w:val="0"/>
        <w:autoSpaceDN w:val="0"/>
        <w:adjustRightInd w:val="0"/>
        <w:jc w:val="center"/>
        <w:textAlignment w:val="baseline"/>
        <w:rPr>
          <w:rFonts w:eastAsia="黑体"/>
          <w:b/>
          <w:kern w:val="0"/>
          <w:sz w:val="52"/>
          <w:szCs w:val="44"/>
        </w:rPr>
      </w:pPr>
    </w:p>
    <w:p>
      <w:pPr>
        <w:widowControl/>
        <w:overflowPunct w:val="0"/>
        <w:autoSpaceDE w:val="0"/>
        <w:autoSpaceDN w:val="0"/>
        <w:adjustRightInd w:val="0"/>
        <w:jc w:val="center"/>
        <w:textAlignment w:val="baseline"/>
        <w:rPr>
          <w:rFonts w:eastAsia="黑体"/>
          <w:b/>
          <w:kern w:val="0"/>
          <w:sz w:val="52"/>
          <w:szCs w:val="44"/>
        </w:rPr>
      </w:pPr>
    </w:p>
    <w:p>
      <w:pPr>
        <w:widowControl/>
        <w:overflowPunct w:val="0"/>
        <w:autoSpaceDE w:val="0"/>
        <w:autoSpaceDN w:val="0"/>
        <w:adjustRightInd w:val="0"/>
        <w:jc w:val="center"/>
        <w:textAlignment w:val="baseline"/>
        <w:rPr>
          <w:rFonts w:eastAsia="黑体"/>
          <w:b/>
          <w:kern w:val="0"/>
          <w:sz w:val="52"/>
          <w:szCs w:val="44"/>
        </w:rPr>
      </w:pPr>
    </w:p>
    <w:p>
      <w:pPr>
        <w:widowControl/>
        <w:overflowPunct w:val="0"/>
        <w:autoSpaceDE w:val="0"/>
        <w:autoSpaceDN w:val="0"/>
        <w:adjustRightInd w:val="0"/>
        <w:jc w:val="center"/>
        <w:textAlignment w:val="baseline"/>
        <w:rPr>
          <w:rFonts w:eastAsia="黑体"/>
          <w:b/>
          <w:kern w:val="0"/>
          <w:sz w:val="52"/>
          <w:szCs w:val="44"/>
        </w:rPr>
      </w:pPr>
    </w:p>
    <w:p>
      <w:pPr>
        <w:pStyle w:val="25"/>
        <w:ind w:left="0" w:leftChars="0" w:firstLine="0" w:firstLineChars="0"/>
        <w:jc w:val="both"/>
        <w:rPr>
          <w:rFonts w:hint="eastAsia" w:ascii="黑体" w:hAnsi="黑体" w:eastAsia="黑体"/>
          <w:b/>
          <w:sz w:val="32"/>
          <w:szCs w:val="32"/>
          <w:lang w:bidi="en-US"/>
        </w:rPr>
      </w:pPr>
    </w:p>
    <w:p>
      <w:pPr>
        <w:pStyle w:val="25"/>
        <w:ind w:left="0" w:leftChars="0" w:firstLine="0" w:firstLineChars="0"/>
        <w:jc w:val="both"/>
        <w:rPr>
          <w:rFonts w:hint="eastAsia" w:ascii="黑体" w:hAnsi="黑体" w:eastAsia="黑体"/>
          <w:b/>
          <w:sz w:val="32"/>
          <w:szCs w:val="32"/>
          <w:lang w:bidi="en-US"/>
        </w:rPr>
      </w:pPr>
    </w:p>
    <w:p>
      <w:pPr>
        <w:pStyle w:val="25"/>
        <w:ind w:left="0" w:leftChars="0" w:firstLine="964" w:firstLineChars="300"/>
        <w:jc w:val="both"/>
        <w:rPr>
          <w:rFonts w:ascii="黑体" w:hAnsi="黑体" w:eastAsia="黑体"/>
          <w:b/>
          <w:sz w:val="32"/>
          <w:szCs w:val="32"/>
          <w:lang w:bidi="en-US"/>
        </w:rPr>
      </w:pPr>
      <w:r>
        <w:rPr>
          <w:rFonts w:hint="eastAsia" w:ascii="黑体" w:hAnsi="黑体" w:eastAsia="黑体"/>
          <w:b/>
          <w:sz w:val="32"/>
          <w:szCs w:val="32"/>
          <w:lang w:bidi="en-US"/>
        </w:rPr>
        <w:t>项目名称：</w:t>
      </w:r>
      <w:r>
        <w:rPr>
          <w:rFonts w:hint="eastAsia" w:ascii="黑体" w:hAnsi="黑体" w:eastAsia="黑体"/>
          <w:b/>
          <w:sz w:val="32"/>
        </w:rPr>
        <w:t>灌云县2017年基本公共卫生服务项目</w:t>
      </w:r>
    </w:p>
    <w:p>
      <w:pPr>
        <w:widowControl/>
        <w:overflowPunct w:val="0"/>
        <w:autoSpaceDE w:val="0"/>
        <w:autoSpaceDN w:val="0"/>
        <w:adjustRightInd w:val="0"/>
        <w:spacing w:before="120" w:after="120" w:line="360" w:lineRule="auto"/>
        <w:ind w:firstLine="964" w:firstLineChars="300"/>
        <w:jc w:val="left"/>
        <w:textAlignment w:val="baseline"/>
        <w:rPr>
          <w:rFonts w:ascii="黑体" w:hAnsi="黑体" w:eastAsia="黑体"/>
          <w:b/>
          <w:kern w:val="0"/>
          <w:sz w:val="32"/>
          <w:szCs w:val="32"/>
          <w:lang w:bidi="en-US"/>
        </w:rPr>
      </w:pPr>
      <w:r>
        <w:rPr>
          <w:rFonts w:hint="eastAsia" w:ascii="黑体" w:hAnsi="黑体" w:eastAsia="黑体"/>
          <w:b/>
          <w:kern w:val="0"/>
          <w:sz w:val="32"/>
          <w:szCs w:val="32"/>
          <w:lang w:bidi="en-US"/>
        </w:rPr>
        <w:t>项目单位：灌云县卫生和计划生育委员会</w:t>
      </w:r>
    </w:p>
    <w:p>
      <w:pPr>
        <w:widowControl/>
        <w:overflowPunct w:val="0"/>
        <w:autoSpaceDE w:val="0"/>
        <w:autoSpaceDN w:val="0"/>
        <w:adjustRightInd w:val="0"/>
        <w:spacing w:before="120" w:after="120" w:line="360" w:lineRule="auto"/>
        <w:ind w:firstLine="964" w:firstLineChars="300"/>
        <w:jc w:val="left"/>
        <w:textAlignment w:val="baseline"/>
        <w:rPr>
          <w:rFonts w:ascii="黑体" w:hAnsi="黑体" w:eastAsia="黑体"/>
          <w:b/>
          <w:kern w:val="0"/>
          <w:sz w:val="32"/>
          <w:szCs w:val="32"/>
          <w:lang w:bidi="en-US"/>
        </w:rPr>
      </w:pPr>
      <w:r>
        <w:rPr>
          <w:rFonts w:hint="eastAsia" w:ascii="黑体" w:hAnsi="黑体" w:eastAsia="黑体"/>
          <w:b/>
          <w:kern w:val="0"/>
          <w:sz w:val="32"/>
          <w:szCs w:val="32"/>
          <w:lang w:bidi="en-US"/>
        </w:rPr>
        <w:t>委托单位：</w:t>
      </w:r>
      <w:r>
        <w:rPr>
          <w:rFonts w:hint="eastAsia" w:ascii="黑体" w:hAnsi="黑体" w:eastAsia="黑体"/>
          <w:b/>
          <w:sz w:val="32"/>
        </w:rPr>
        <w:t>灌云县</w:t>
      </w:r>
      <w:r>
        <w:rPr>
          <w:rFonts w:hint="eastAsia" w:ascii="黑体" w:hAnsi="黑体" w:eastAsia="黑体"/>
          <w:b/>
          <w:kern w:val="0"/>
          <w:sz w:val="32"/>
          <w:szCs w:val="32"/>
          <w:lang w:bidi="en-US"/>
        </w:rPr>
        <w:t>财政局</w:t>
      </w:r>
    </w:p>
    <w:p>
      <w:pPr>
        <w:widowControl/>
        <w:overflowPunct w:val="0"/>
        <w:autoSpaceDE w:val="0"/>
        <w:autoSpaceDN w:val="0"/>
        <w:adjustRightInd w:val="0"/>
        <w:spacing w:before="120" w:after="120" w:line="360" w:lineRule="auto"/>
        <w:ind w:firstLine="964" w:firstLineChars="300"/>
        <w:jc w:val="left"/>
        <w:textAlignment w:val="baseline"/>
        <w:rPr>
          <w:rFonts w:ascii="黑体" w:hAnsi="黑体" w:eastAsia="黑体"/>
          <w:b/>
          <w:kern w:val="0"/>
          <w:szCs w:val="28"/>
        </w:rPr>
      </w:pPr>
      <w:r>
        <w:rPr>
          <w:rFonts w:hint="eastAsia" w:ascii="黑体" w:hAnsi="黑体" w:eastAsia="黑体"/>
          <w:b/>
          <w:kern w:val="0"/>
          <w:sz w:val="32"/>
          <w:szCs w:val="32"/>
          <w:lang w:bidi="en-US"/>
        </w:rPr>
        <w:t>评价机构：连云港金源会计师事务所有限公司</w:t>
      </w:r>
    </w:p>
    <w:p>
      <w:pPr>
        <w:widowControl/>
        <w:overflowPunct w:val="0"/>
        <w:autoSpaceDE w:val="0"/>
        <w:autoSpaceDN w:val="0"/>
        <w:adjustRightInd w:val="0"/>
        <w:spacing w:before="120" w:after="120" w:line="360" w:lineRule="auto"/>
        <w:ind w:left="1610" w:leftChars="575" w:firstLine="281" w:firstLineChars="100"/>
        <w:jc w:val="left"/>
        <w:textAlignment w:val="baseline"/>
        <w:rPr>
          <w:rFonts w:ascii="黑体" w:hAnsi="黑体" w:eastAsia="黑体"/>
          <w:b/>
          <w:kern w:val="0"/>
          <w:szCs w:val="28"/>
        </w:rPr>
      </w:pPr>
    </w:p>
    <w:p>
      <w:pPr>
        <w:widowControl/>
        <w:overflowPunct w:val="0"/>
        <w:autoSpaceDE w:val="0"/>
        <w:autoSpaceDN w:val="0"/>
        <w:adjustRightInd w:val="0"/>
        <w:spacing w:before="120" w:after="120" w:line="360" w:lineRule="auto"/>
        <w:jc w:val="both"/>
        <w:textAlignment w:val="baseline"/>
        <w:rPr>
          <w:rFonts w:ascii="黑体" w:hAnsi="黑体" w:eastAsia="黑体"/>
          <w:b/>
          <w:kern w:val="0"/>
          <w:sz w:val="32"/>
          <w:szCs w:val="32"/>
          <w:lang w:bidi="en-US"/>
        </w:rPr>
      </w:pPr>
    </w:p>
    <w:p>
      <w:pPr>
        <w:widowControl/>
        <w:overflowPunct w:val="0"/>
        <w:autoSpaceDE w:val="0"/>
        <w:autoSpaceDN w:val="0"/>
        <w:adjustRightInd w:val="0"/>
        <w:spacing w:before="120" w:after="120" w:line="360" w:lineRule="auto"/>
        <w:jc w:val="center"/>
        <w:textAlignment w:val="baseline"/>
        <w:rPr>
          <w:rFonts w:ascii="黑体" w:hAnsi="黑体" w:eastAsia="黑体"/>
          <w:b/>
          <w:kern w:val="0"/>
          <w:sz w:val="32"/>
          <w:szCs w:val="32"/>
          <w:lang w:bidi="en-US"/>
        </w:rPr>
      </w:pPr>
      <w:r>
        <w:rPr>
          <w:rFonts w:ascii="黑体" w:hAnsi="黑体" w:eastAsia="黑体"/>
          <w:b/>
          <w:kern w:val="0"/>
          <w:sz w:val="32"/>
          <w:szCs w:val="32"/>
          <w:lang w:bidi="en-US"/>
        </w:rPr>
        <w:t>20</w:t>
      </w:r>
      <w:r>
        <w:rPr>
          <w:rFonts w:hint="eastAsia" w:ascii="黑体" w:hAnsi="黑体" w:eastAsia="黑体"/>
          <w:b/>
          <w:kern w:val="0"/>
          <w:sz w:val="32"/>
          <w:szCs w:val="32"/>
          <w:lang w:bidi="en-US"/>
        </w:rPr>
        <w:t>1</w:t>
      </w:r>
      <w:r>
        <w:rPr>
          <w:rFonts w:ascii="黑体" w:hAnsi="黑体" w:eastAsia="黑体"/>
          <w:b/>
          <w:kern w:val="0"/>
          <w:sz w:val="32"/>
          <w:szCs w:val="32"/>
          <w:lang w:bidi="en-US"/>
        </w:rPr>
        <w:t>8年</w:t>
      </w:r>
      <w:r>
        <w:rPr>
          <w:rFonts w:hint="eastAsia" w:ascii="黑体" w:hAnsi="黑体" w:eastAsia="黑体"/>
          <w:b/>
          <w:kern w:val="0"/>
          <w:sz w:val="32"/>
          <w:szCs w:val="32"/>
          <w:lang w:bidi="en-US"/>
        </w:rPr>
        <w:t>11</w:t>
      </w:r>
      <w:r>
        <w:rPr>
          <w:rFonts w:ascii="黑体" w:hAnsi="黑体" w:eastAsia="黑体"/>
          <w:b/>
          <w:kern w:val="0"/>
          <w:sz w:val="32"/>
          <w:szCs w:val="32"/>
          <w:lang w:bidi="en-US"/>
        </w:rPr>
        <w:t>月</w:t>
      </w:r>
    </w:p>
    <w:p>
      <w:pPr>
        <w:widowControl/>
        <w:overflowPunct w:val="0"/>
        <w:autoSpaceDE w:val="0"/>
        <w:autoSpaceDN w:val="0"/>
        <w:adjustRightInd w:val="0"/>
        <w:spacing w:before="120" w:after="120" w:line="360" w:lineRule="auto"/>
        <w:jc w:val="center"/>
        <w:textAlignment w:val="baseline"/>
        <w:rPr>
          <w:rFonts w:ascii="黑体" w:hAnsi="黑体" w:eastAsia="黑体"/>
          <w:b/>
          <w:kern w:val="0"/>
          <w:sz w:val="32"/>
          <w:szCs w:val="32"/>
          <w:lang w:bidi="en-US"/>
        </w:rPr>
      </w:pPr>
    </w:p>
    <w:p>
      <w:pPr>
        <w:widowControl/>
        <w:overflowPunct w:val="0"/>
        <w:autoSpaceDE w:val="0"/>
        <w:autoSpaceDN w:val="0"/>
        <w:adjustRightInd w:val="0"/>
        <w:spacing w:before="120" w:after="120" w:line="360" w:lineRule="auto"/>
        <w:jc w:val="center"/>
        <w:textAlignment w:val="baseline"/>
        <w:rPr>
          <w:rFonts w:ascii="黑体" w:hAnsi="黑体" w:eastAsia="黑体"/>
          <w:b/>
          <w:kern w:val="0"/>
          <w:sz w:val="32"/>
          <w:szCs w:val="32"/>
          <w:lang w:bidi="en-US"/>
        </w:rPr>
      </w:pPr>
    </w:p>
    <w:p>
      <w:pPr>
        <w:widowControl/>
        <w:overflowPunct w:val="0"/>
        <w:autoSpaceDE w:val="0"/>
        <w:autoSpaceDN w:val="0"/>
        <w:adjustRightInd w:val="0"/>
        <w:spacing w:before="120" w:after="120" w:line="360" w:lineRule="auto"/>
        <w:jc w:val="center"/>
        <w:textAlignment w:val="baseline"/>
        <w:rPr>
          <w:rFonts w:ascii="黑体" w:hAnsi="黑体" w:eastAsia="黑体"/>
          <w:b/>
          <w:kern w:val="0"/>
          <w:sz w:val="32"/>
          <w:szCs w:val="32"/>
          <w:lang w:bidi="en-US"/>
        </w:rPr>
      </w:pPr>
    </w:p>
    <w:p>
      <w:pPr>
        <w:widowControl/>
        <w:overflowPunct w:val="0"/>
        <w:autoSpaceDE w:val="0"/>
        <w:autoSpaceDN w:val="0"/>
        <w:adjustRightInd w:val="0"/>
        <w:spacing w:before="120" w:after="120" w:line="360" w:lineRule="auto"/>
        <w:jc w:val="center"/>
        <w:textAlignment w:val="baseline"/>
        <w:rPr>
          <w:rFonts w:ascii="黑体" w:hAnsi="黑体" w:eastAsia="黑体"/>
          <w:b/>
          <w:kern w:val="0"/>
          <w:sz w:val="32"/>
          <w:szCs w:val="32"/>
          <w:lang w:bidi="en-US"/>
        </w:rPr>
      </w:pPr>
    </w:p>
    <w:p>
      <w:pPr>
        <w:pStyle w:val="25"/>
        <w:spacing w:line="600" w:lineRule="exact"/>
        <w:ind w:firstLine="640"/>
        <w:rPr>
          <w:rFonts w:ascii="仿宋" w:hAnsi="仿宋" w:eastAsia="仿宋"/>
          <w:sz w:val="32"/>
          <w:szCs w:val="32"/>
        </w:rPr>
      </w:pPr>
      <w:r>
        <w:rPr>
          <w:rFonts w:hint="eastAsia" w:ascii="仿宋" w:hAnsi="仿宋" w:eastAsia="仿宋"/>
          <w:sz w:val="32"/>
          <w:szCs w:val="32"/>
        </w:rPr>
        <w:t>为强化财政支出责任，提高财政资金使用效益，充分发挥财政资金的支持作用，根据灌云县</w:t>
      </w:r>
      <w:r>
        <w:rPr>
          <w:rFonts w:ascii="仿宋" w:hAnsi="仿宋" w:eastAsia="仿宋"/>
          <w:sz w:val="32"/>
          <w:szCs w:val="32"/>
        </w:rPr>
        <w:t>201</w:t>
      </w:r>
      <w:r>
        <w:rPr>
          <w:rFonts w:hint="eastAsia" w:ascii="仿宋" w:hAnsi="仿宋" w:eastAsia="仿宋"/>
          <w:sz w:val="32"/>
          <w:szCs w:val="32"/>
        </w:rPr>
        <w:t>8年县级财政专项资</w:t>
      </w:r>
      <w:r>
        <w:rPr>
          <w:rFonts w:hint="eastAsia" w:ascii="仿宋" w:hAnsi="仿宋" w:eastAsia="仿宋"/>
          <w:snapToGrid w:val="0"/>
          <w:sz w:val="32"/>
          <w:szCs w:val="32"/>
        </w:rPr>
        <w:t>金绩效评价要求，连云港金源会计师事务所有限公司接受灌云县财政局委托，对灌云县卫生和计划生育委员会承担的灌云县2017年基本公共卫生服务项目的绩效进行评价。在组织实施评价中，我们依据制定的绩效评价指标体系与数据报表体系，以及项目承担单位采集和提供的评价基础数据资料，按照制订的评价标准体系，</w:t>
      </w:r>
      <w:r>
        <w:rPr>
          <w:rFonts w:hint="eastAsia" w:ascii="仿宋" w:hAnsi="仿宋" w:eastAsia="仿宋"/>
          <w:color w:val="0D0D0D"/>
          <w:sz w:val="32"/>
          <w:szCs w:val="32"/>
        </w:rPr>
        <w:t>运用定量和定性分析相结合的方法</w:t>
      </w:r>
      <w:r>
        <w:rPr>
          <w:rFonts w:hint="eastAsia" w:ascii="仿宋" w:hAnsi="仿宋" w:eastAsia="仿宋"/>
          <w:snapToGrid w:val="0"/>
          <w:sz w:val="32"/>
          <w:szCs w:val="32"/>
        </w:rPr>
        <w:t>，对灌云县2017年基本公共卫生服务项目的使用绩效进行了综合评价，</w:t>
      </w:r>
      <w:r>
        <w:rPr>
          <w:rFonts w:hint="eastAsia" w:ascii="仿宋" w:hAnsi="仿宋" w:eastAsia="仿宋"/>
          <w:sz w:val="32"/>
          <w:szCs w:val="32"/>
        </w:rPr>
        <w:t>现提交绩效评价报告如下：</w:t>
      </w:r>
      <w:bookmarkEnd w:id="0"/>
    </w:p>
    <w:p>
      <w:pPr>
        <w:pStyle w:val="20"/>
        <w:spacing w:before="0" w:after="0" w:line="600" w:lineRule="exact"/>
        <w:ind w:firstLine="640" w:firstLineChars="200"/>
        <w:rPr>
          <w:rFonts w:hint="eastAsia" w:ascii="黑体" w:hAnsi="黑体" w:eastAsia="黑体" w:cs="黑体"/>
          <w:b w:val="0"/>
          <w:bCs/>
          <w:color w:val="0D0D0D"/>
          <w:szCs w:val="32"/>
        </w:rPr>
      </w:pPr>
      <w:bookmarkStart w:id="6" w:name="_Toc468092026"/>
      <w:r>
        <w:rPr>
          <w:rFonts w:hint="eastAsia" w:ascii="黑体" w:hAnsi="黑体" w:eastAsia="黑体" w:cs="黑体"/>
          <w:b w:val="0"/>
          <w:bCs/>
          <w:color w:val="0D0D0D"/>
          <w:szCs w:val="32"/>
        </w:rPr>
        <w:t>一、</w:t>
      </w:r>
      <w:r>
        <w:rPr>
          <w:rFonts w:hint="eastAsia" w:ascii="黑体" w:hAnsi="黑体" w:eastAsia="黑体" w:cs="黑体"/>
          <w:b w:val="0"/>
          <w:bCs/>
          <w:szCs w:val="32"/>
        </w:rPr>
        <w:t>项目</w:t>
      </w:r>
      <w:r>
        <w:rPr>
          <w:rFonts w:hint="eastAsia" w:ascii="黑体" w:hAnsi="黑体" w:eastAsia="黑体" w:cs="黑体"/>
          <w:b w:val="0"/>
          <w:bCs/>
          <w:color w:val="0D0D0D"/>
          <w:szCs w:val="32"/>
        </w:rPr>
        <w:t>基本情况</w:t>
      </w:r>
      <w:bookmarkEnd w:id="6"/>
      <w:bookmarkStart w:id="7" w:name="_Toc462235875"/>
      <w:bookmarkStart w:id="8" w:name="_Toc462250584"/>
      <w:bookmarkStart w:id="9" w:name="_Toc462235573"/>
    </w:p>
    <w:bookmarkEnd w:id="7"/>
    <w:bookmarkEnd w:id="8"/>
    <w:bookmarkEnd w:id="9"/>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（一）项目概况</w:t>
      </w:r>
    </w:p>
    <w:p>
      <w:pPr>
        <w:spacing w:line="600" w:lineRule="exact"/>
        <w:ind w:firstLine="640" w:firstLineChars="200"/>
        <w:jc w:val="both"/>
        <w:rPr>
          <w:rFonts w:ascii="仿宋" w:hAnsi="仿宋" w:eastAsia="仿宋"/>
          <w:snapToGrid w:val="0"/>
          <w:kern w:val="0"/>
          <w:sz w:val="32"/>
          <w:szCs w:val="32"/>
        </w:rPr>
      </w:pPr>
      <w:r>
        <w:rPr>
          <w:rFonts w:ascii="仿宋" w:hAnsi="仿宋" w:eastAsia="仿宋"/>
          <w:snapToGrid w:val="0"/>
          <w:kern w:val="0"/>
          <w:sz w:val="32"/>
          <w:szCs w:val="32"/>
        </w:rPr>
        <w:t>基本公共卫生服务项目，是促进基本公共卫生服务逐步均等化的重要内容，是深化医药卫生体制改革的重要工作</w:t>
      </w:r>
      <w:r>
        <w:rPr>
          <w:rFonts w:hint="eastAsia" w:ascii="仿宋" w:hAnsi="仿宋" w:eastAsia="仿宋"/>
          <w:snapToGrid w:val="0"/>
          <w:kern w:val="0"/>
          <w:sz w:val="32"/>
          <w:szCs w:val="32"/>
        </w:rPr>
        <w:t>，</w:t>
      </w:r>
      <w:r>
        <w:rPr>
          <w:rFonts w:ascii="仿宋" w:hAnsi="仿宋" w:eastAsia="仿宋"/>
          <w:snapToGrid w:val="0"/>
          <w:kern w:val="0"/>
          <w:sz w:val="32"/>
          <w:szCs w:val="32"/>
        </w:rPr>
        <w:t>是政府针对当前城乡居民存在的主要健康问题，以儿童、孕产妇、老年人、慢性疾病患者为重点人群，面向全体居民免费提供的最基本的公共卫生服务。开展服务项目所需资金主要由政府承担，城乡居民可直接受益。</w:t>
      </w:r>
    </w:p>
    <w:p>
      <w:pPr>
        <w:widowControl/>
        <w:spacing w:line="600" w:lineRule="exact"/>
        <w:ind w:firstLine="480"/>
        <w:jc w:val="both"/>
        <w:rPr>
          <w:rFonts w:ascii="仿宋" w:hAnsi="仿宋" w:eastAsia="仿宋" w:cs="宋体"/>
          <w:color w:val="333333"/>
          <w:kern w:val="0"/>
          <w:sz w:val="32"/>
          <w:szCs w:val="32"/>
        </w:rPr>
      </w:pPr>
      <w:r>
        <w:rPr>
          <w:rFonts w:hint="eastAsia" w:ascii="仿宋" w:hAnsi="仿宋" w:eastAsia="仿宋"/>
          <w:snapToGrid w:val="0"/>
          <w:kern w:val="0"/>
          <w:sz w:val="32"/>
          <w:szCs w:val="32"/>
        </w:rPr>
        <w:t>改革开放以来，我国医药卫生事业取得了显著成就，但医药卫生事业市场致使人民群众“看病难、看</w:t>
      </w:r>
      <w:r>
        <w:rPr>
          <w:rFonts w:hint="eastAsia" w:ascii="仿宋" w:hAnsi="仿宋" w:eastAsia="仿宋" w:cs="宋体"/>
          <w:color w:val="333333"/>
          <w:kern w:val="0"/>
          <w:sz w:val="32"/>
          <w:szCs w:val="32"/>
        </w:rPr>
        <w:t>病贵”的问题日益突出。为了缓解我国医药卫生事业发展与人民群众健康需求存在的矛盾和问题，2009年4月6日，《中共中央国务院关于深化医药卫生体制改革的意见》提出了“有效减轻居民就医费用负担，切实缓解“看病难、看病贵”近期目标，建立健全覆盖城乡居民的基本医疗卫生制度”。当年7月10日国务院深化医药卫生体制改革领导小组召开电视电话会议，启动并部署9项国家基本公共卫生服务项目。根据医改实施方案，基本公卫项目将免费为城乡居民提供。至此，我国推进基本公共卫生服务均等化成为国家和省市卫生部门的实际行动。力争到2020年，促进基本公共卫生服务均等化的机制基本完善，重大疾病和主要健康危害因素得到有效控制，人民健康水平得到进一步提高。</w:t>
      </w:r>
    </w:p>
    <w:p>
      <w:pPr>
        <w:widowControl/>
        <w:spacing w:line="600" w:lineRule="exact"/>
        <w:ind w:firstLine="480"/>
        <w:jc w:val="both"/>
        <w:rPr>
          <w:rFonts w:ascii="仿宋" w:hAnsi="仿宋" w:eastAsia="仿宋" w:cs="宋体"/>
          <w:color w:val="333333"/>
          <w:kern w:val="0"/>
          <w:sz w:val="32"/>
          <w:szCs w:val="32"/>
        </w:rPr>
      </w:pPr>
      <w:r>
        <w:rPr>
          <w:rFonts w:hint="eastAsia" w:ascii="仿宋" w:hAnsi="仿宋" w:eastAsia="仿宋" w:cs="宋体"/>
          <w:color w:val="333333"/>
          <w:kern w:val="0"/>
          <w:sz w:val="32"/>
          <w:szCs w:val="32"/>
        </w:rPr>
        <w:t>基本公共卫生服务项目自2009年开始实施以来，在城乡基层医疗卫生机构得到了普遍开展，取得了一定的成效。针对我国当前面临的慢性病患者人数快速增加、社会老龄化程度不断加深、新旧传染病防控形势依然严峻等主要公共卫生问题，基本公共卫生服务不论从经费还是在内容上都有显著提高和增长。</w:t>
      </w:r>
    </w:p>
    <w:p>
      <w:pPr>
        <w:widowControl/>
        <w:spacing w:line="600" w:lineRule="exact"/>
        <w:ind w:firstLine="480"/>
        <w:jc w:val="both"/>
        <w:rPr>
          <w:rFonts w:ascii="仿宋" w:hAnsi="仿宋" w:eastAsia="仿宋" w:cs="宋体"/>
          <w:color w:val="333333"/>
          <w:kern w:val="0"/>
          <w:sz w:val="32"/>
          <w:szCs w:val="32"/>
        </w:rPr>
      </w:pPr>
      <w:r>
        <w:rPr>
          <w:rFonts w:hint="eastAsia" w:ascii="仿宋" w:hAnsi="仿宋" w:eastAsia="仿宋" w:cs="宋体"/>
          <w:color w:val="333333"/>
          <w:kern w:val="0"/>
          <w:sz w:val="32"/>
          <w:szCs w:val="32"/>
        </w:rPr>
        <w:t>根据省财政厅、省卫生计生委</w:t>
      </w:r>
      <w:r>
        <w:rPr>
          <w:rFonts w:hint="eastAsia" w:ascii="仿宋" w:hAnsi="仿宋" w:eastAsia="仿宋"/>
          <w:snapToGrid w:val="0"/>
          <w:kern w:val="0"/>
          <w:sz w:val="32"/>
          <w:szCs w:val="32"/>
        </w:rPr>
        <w:t>《关于调整2017年度基本公共卫生服务政府补助标准的通知》（苏财社</w:t>
      </w:r>
      <w:r>
        <w:rPr>
          <w:rFonts w:hint="eastAsia" w:ascii="仿宋" w:hAnsi="仿宋" w:eastAsia="仿宋"/>
          <w:sz w:val="32"/>
          <w:szCs w:val="32"/>
        </w:rPr>
        <w:t>〔</w:t>
      </w:r>
      <w:r>
        <w:rPr>
          <w:rFonts w:ascii="仿宋" w:hAnsi="仿宋" w:eastAsia="仿宋"/>
          <w:sz w:val="32"/>
          <w:szCs w:val="32"/>
        </w:rPr>
        <w:t>2017</w:t>
      </w:r>
      <w:r>
        <w:rPr>
          <w:rFonts w:hint="eastAsia" w:ascii="仿宋" w:hAnsi="仿宋" w:eastAsia="仿宋"/>
          <w:sz w:val="32"/>
          <w:szCs w:val="32"/>
        </w:rPr>
        <w:t>〕19号）要求，2017年我省基本公共卫生服务政府补助标准提高到人均不低于60元。新增补助经费主要用于：一是巩固现有项目，扩大服务覆盖面，提高服务质量；二是统筹安排免费提供避孕药具和健康素养促进两个项目；三是主要用于支持“一老一小”、慢性病患者和建档立卡贫困人口等重点人群家庭医生签约服务工作开展。截至2017年，基本公共卫生服务补助经费标准从人均15元提高至60元，项目内容从9类扩展至14类</w:t>
      </w:r>
      <w:r>
        <w:rPr>
          <w:rFonts w:hint="eastAsia" w:ascii="仿宋" w:hAnsi="仿宋" w:eastAsia="仿宋" w:cs="宋体"/>
          <w:color w:val="333333"/>
          <w:kern w:val="0"/>
          <w:sz w:val="32"/>
          <w:szCs w:val="32"/>
        </w:rPr>
        <w:t>。</w:t>
      </w:r>
    </w:p>
    <w:p>
      <w:pPr>
        <w:spacing w:line="60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依据国家卫生和计划生育委员会、财政部、国家中医药局《关于做好2017年国家基本公共卫生服务项目工作的通知》（国卫基层发</w:t>
      </w:r>
      <w:r>
        <w:rPr>
          <w:rFonts w:hint="eastAsia" w:ascii="仿宋" w:hAnsi="仿宋" w:eastAsia="仿宋"/>
          <w:sz w:val="32"/>
          <w:szCs w:val="32"/>
        </w:rPr>
        <w:t>〔</w:t>
      </w:r>
      <w:r>
        <w:rPr>
          <w:rFonts w:ascii="仿宋" w:hAnsi="仿宋" w:eastAsia="仿宋"/>
          <w:sz w:val="32"/>
          <w:szCs w:val="32"/>
        </w:rPr>
        <w:t>2017</w:t>
      </w:r>
      <w:r>
        <w:rPr>
          <w:rFonts w:hint="eastAsia" w:ascii="仿宋" w:hAnsi="仿宋" w:eastAsia="仿宋"/>
          <w:sz w:val="32"/>
          <w:szCs w:val="32"/>
        </w:rPr>
        <w:t>〕46号）和</w:t>
      </w:r>
      <w:r>
        <w:rPr>
          <w:rFonts w:hint="eastAsia" w:ascii="仿宋" w:hAnsi="仿宋" w:eastAsia="仿宋"/>
          <w:snapToGrid w:val="0"/>
          <w:kern w:val="0"/>
          <w:sz w:val="32"/>
          <w:szCs w:val="32"/>
        </w:rPr>
        <w:t>《国家基本公卫生服务规范（第三版）》要求，我省制定《江苏省2017年度基本公卫生服务项目实施方案》，任务目标同国家要求保持一致，并进一步明确项目内容与执行标准。</w:t>
      </w:r>
    </w:p>
    <w:p>
      <w:pPr>
        <w:spacing w:line="60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2017年3月14日，灌云县卫生和计划生育委员会制定《灌云县2017年基本公卫生服务项目实施方案》，主要目标分为12项。</w:t>
      </w:r>
    </w:p>
    <w:p>
      <w:pPr>
        <w:pStyle w:val="20"/>
        <w:spacing w:before="0" w:after="0" w:line="600" w:lineRule="exact"/>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（二）预算资金</w:t>
      </w:r>
    </w:p>
    <w:p>
      <w:pPr>
        <w:pStyle w:val="25"/>
        <w:spacing w:line="600" w:lineRule="exact"/>
        <w:ind w:firstLine="643"/>
        <w:rPr>
          <w:rFonts w:ascii="仿宋" w:hAnsi="仿宋" w:eastAsia="仿宋"/>
          <w:b/>
          <w:kern w:val="2"/>
          <w:sz w:val="32"/>
          <w:szCs w:val="32"/>
        </w:rPr>
      </w:pPr>
      <w:r>
        <w:rPr>
          <w:rFonts w:ascii="仿宋" w:hAnsi="仿宋" w:eastAsia="仿宋"/>
          <w:b/>
          <w:kern w:val="2"/>
          <w:sz w:val="32"/>
          <w:szCs w:val="32"/>
        </w:rPr>
        <w:t>1</w:t>
      </w:r>
      <w:r>
        <w:rPr>
          <w:rFonts w:hint="eastAsia" w:ascii="仿宋" w:hAnsi="仿宋" w:eastAsia="仿宋"/>
          <w:b/>
          <w:kern w:val="2"/>
          <w:sz w:val="32"/>
          <w:szCs w:val="32"/>
        </w:rPr>
        <w:t>.</w:t>
      </w:r>
      <w:r>
        <w:rPr>
          <w:rFonts w:ascii="仿宋" w:hAnsi="仿宋" w:eastAsia="仿宋"/>
          <w:b/>
          <w:kern w:val="2"/>
          <w:sz w:val="32"/>
          <w:szCs w:val="32"/>
        </w:rPr>
        <w:t>资金来源</w:t>
      </w:r>
    </w:p>
    <w:p>
      <w:pPr>
        <w:pStyle w:val="25"/>
        <w:spacing w:line="600" w:lineRule="exact"/>
        <w:ind w:firstLine="640"/>
        <w:rPr>
          <w:rFonts w:ascii="仿宋" w:hAnsi="仿宋" w:eastAsia="仿宋"/>
          <w:sz w:val="32"/>
          <w:szCs w:val="32"/>
        </w:rPr>
      </w:pPr>
      <w:r>
        <w:rPr>
          <w:rFonts w:hint="eastAsia" w:ascii="仿宋" w:hAnsi="仿宋" w:eastAsia="仿宋"/>
          <w:snapToGrid w:val="0"/>
          <w:sz w:val="32"/>
          <w:szCs w:val="32"/>
        </w:rPr>
        <w:t>根据苏财社</w:t>
      </w:r>
      <w:r>
        <w:rPr>
          <w:rFonts w:hint="eastAsia" w:ascii="仿宋" w:hAnsi="仿宋" w:eastAsia="仿宋"/>
          <w:sz w:val="32"/>
          <w:szCs w:val="32"/>
        </w:rPr>
        <w:t>〔</w:t>
      </w:r>
      <w:r>
        <w:rPr>
          <w:rFonts w:ascii="仿宋" w:hAnsi="仿宋" w:eastAsia="仿宋"/>
          <w:sz w:val="32"/>
          <w:szCs w:val="32"/>
        </w:rPr>
        <w:t>201</w:t>
      </w:r>
      <w:r>
        <w:rPr>
          <w:rFonts w:hint="eastAsia" w:ascii="仿宋" w:hAnsi="仿宋" w:eastAsia="仿宋"/>
          <w:sz w:val="32"/>
          <w:szCs w:val="32"/>
        </w:rPr>
        <w:t>6〕</w:t>
      </w:r>
      <w:r>
        <w:rPr>
          <w:rFonts w:hint="eastAsia" w:ascii="仿宋" w:hAnsi="仿宋" w:eastAsia="仿宋"/>
          <w:snapToGrid w:val="0"/>
          <w:sz w:val="32"/>
          <w:szCs w:val="32"/>
        </w:rPr>
        <w:t>221号、苏财社</w:t>
      </w:r>
      <w:r>
        <w:rPr>
          <w:rFonts w:hint="eastAsia" w:ascii="仿宋" w:hAnsi="仿宋" w:eastAsia="仿宋"/>
          <w:sz w:val="32"/>
          <w:szCs w:val="32"/>
        </w:rPr>
        <w:t>〔</w:t>
      </w:r>
      <w:r>
        <w:rPr>
          <w:rFonts w:ascii="仿宋" w:hAnsi="仿宋" w:eastAsia="仿宋"/>
          <w:sz w:val="32"/>
          <w:szCs w:val="32"/>
        </w:rPr>
        <w:t>201</w:t>
      </w:r>
      <w:r>
        <w:rPr>
          <w:rFonts w:hint="eastAsia" w:ascii="仿宋" w:hAnsi="仿宋" w:eastAsia="仿宋"/>
          <w:sz w:val="32"/>
          <w:szCs w:val="32"/>
        </w:rPr>
        <w:t>7〕</w:t>
      </w:r>
      <w:r>
        <w:rPr>
          <w:rFonts w:hint="eastAsia" w:ascii="仿宋" w:hAnsi="仿宋" w:eastAsia="仿宋"/>
          <w:snapToGrid w:val="0"/>
          <w:sz w:val="32"/>
          <w:szCs w:val="32"/>
        </w:rPr>
        <w:t>101号、苏财社</w:t>
      </w:r>
      <w:r>
        <w:rPr>
          <w:rFonts w:hint="eastAsia" w:ascii="仿宋" w:hAnsi="仿宋" w:eastAsia="仿宋"/>
          <w:sz w:val="32"/>
          <w:szCs w:val="32"/>
        </w:rPr>
        <w:t>〔</w:t>
      </w:r>
      <w:r>
        <w:rPr>
          <w:rFonts w:ascii="仿宋" w:hAnsi="仿宋" w:eastAsia="仿宋"/>
          <w:sz w:val="32"/>
          <w:szCs w:val="32"/>
        </w:rPr>
        <w:t>201</w:t>
      </w:r>
      <w:r>
        <w:rPr>
          <w:rFonts w:hint="eastAsia" w:ascii="仿宋" w:hAnsi="仿宋" w:eastAsia="仿宋"/>
          <w:sz w:val="32"/>
          <w:szCs w:val="32"/>
        </w:rPr>
        <w:t>7〕</w:t>
      </w:r>
      <w:r>
        <w:rPr>
          <w:rFonts w:hint="eastAsia" w:ascii="仿宋" w:hAnsi="仿宋" w:eastAsia="仿宋"/>
          <w:snapToGrid w:val="0"/>
          <w:sz w:val="32"/>
          <w:szCs w:val="32"/>
        </w:rPr>
        <w:t>73号、</w:t>
      </w:r>
      <w:r>
        <w:rPr>
          <w:rFonts w:hint="eastAsia" w:ascii="仿宋" w:hAnsi="仿宋" w:eastAsia="仿宋"/>
          <w:sz w:val="32"/>
          <w:szCs w:val="32"/>
        </w:rPr>
        <w:t>灌财预〔</w:t>
      </w:r>
      <w:r>
        <w:rPr>
          <w:rFonts w:ascii="仿宋" w:hAnsi="仿宋" w:eastAsia="仿宋"/>
          <w:sz w:val="32"/>
          <w:szCs w:val="32"/>
        </w:rPr>
        <w:t>201</w:t>
      </w:r>
      <w:r>
        <w:rPr>
          <w:rFonts w:hint="eastAsia" w:ascii="仿宋" w:hAnsi="仿宋" w:eastAsia="仿宋"/>
          <w:sz w:val="32"/>
          <w:szCs w:val="32"/>
        </w:rPr>
        <w:t>7〕2号）批复，灌云县2017年基本公共卫生服务项目资金4834</w:t>
      </w:r>
      <w:r>
        <w:rPr>
          <w:rFonts w:ascii="仿宋" w:hAnsi="仿宋" w:eastAsia="仿宋"/>
          <w:sz w:val="32"/>
          <w:szCs w:val="32"/>
        </w:rPr>
        <w:t>万元</w:t>
      </w:r>
      <w:r>
        <w:rPr>
          <w:rFonts w:hint="eastAsia" w:ascii="仿宋" w:hAnsi="仿宋" w:eastAsia="仿宋"/>
          <w:sz w:val="32"/>
          <w:szCs w:val="32"/>
        </w:rPr>
        <w:t>，其中中央财政799万元，省财政2586万元，县财政1449万元</w:t>
      </w:r>
      <w:r>
        <w:rPr>
          <w:rFonts w:ascii="仿宋" w:hAnsi="仿宋" w:eastAsia="仿宋"/>
          <w:sz w:val="32"/>
          <w:szCs w:val="32"/>
        </w:rPr>
        <w:t>。</w:t>
      </w:r>
    </w:p>
    <w:p>
      <w:pPr>
        <w:pStyle w:val="25"/>
        <w:spacing w:line="600" w:lineRule="exact"/>
        <w:ind w:firstLine="643"/>
        <w:rPr>
          <w:rFonts w:ascii="仿宋" w:hAnsi="仿宋" w:eastAsia="仿宋"/>
          <w:b/>
          <w:kern w:val="2"/>
          <w:sz w:val="32"/>
          <w:szCs w:val="32"/>
        </w:rPr>
      </w:pPr>
      <w:r>
        <w:rPr>
          <w:rFonts w:ascii="仿宋" w:hAnsi="仿宋" w:eastAsia="仿宋"/>
          <w:b/>
          <w:kern w:val="2"/>
          <w:sz w:val="32"/>
          <w:szCs w:val="32"/>
        </w:rPr>
        <w:t>2</w:t>
      </w:r>
      <w:r>
        <w:rPr>
          <w:rFonts w:hint="eastAsia" w:ascii="仿宋" w:hAnsi="仿宋" w:eastAsia="仿宋"/>
          <w:b/>
          <w:kern w:val="2"/>
          <w:sz w:val="32"/>
          <w:szCs w:val="32"/>
        </w:rPr>
        <w:t>.</w:t>
      </w:r>
      <w:r>
        <w:rPr>
          <w:rFonts w:ascii="仿宋" w:hAnsi="仿宋" w:eastAsia="仿宋"/>
          <w:b/>
          <w:kern w:val="2"/>
          <w:sz w:val="32"/>
          <w:szCs w:val="32"/>
        </w:rPr>
        <w:t>资金用途</w:t>
      </w:r>
    </w:p>
    <w:p>
      <w:pPr>
        <w:spacing w:line="600" w:lineRule="exact"/>
        <w:ind w:firstLine="640" w:firstLineChars="200"/>
        <w:rPr>
          <w:rFonts w:ascii="仿宋" w:hAnsi="仿宋" w:eastAsia="仿宋"/>
          <w:sz w:val="32"/>
          <w:szCs w:val="32"/>
        </w:rPr>
      </w:pPr>
      <w:r>
        <w:rPr>
          <w:rFonts w:hint="eastAsia" w:ascii="仿宋" w:hAnsi="仿宋" w:eastAsia="仿宋"/>
          <w:snapToGrid w:val="0"/>
          <w:kern w:val="0"/>
          <w:sz w:val="32"/>
          <w:szCs w:val="32"/>
        </w:rPr>
        <w:t>灌云县2017年度基本公共</w:t>
      </w:r>
      <w:r>
        <w:rPr>
          <w:rFonts w:hint="eastAsia" w:ascii="仿宋" w:hAnsi="仿宋" w:eastAsia="仿宋"/>
          <w:sz w:val="32"/>
          <w:szCs w:val="32"/>
        </w:rPr>
        <w:t>卫生服务补助资金由灌云县统筹用于实施国家基本公共卫生服务项目（含免费提供避孕药具和作健康素养促进工作经费）。</w:t>
      </w:r>
    </w:p>
    <w:p>
      <w:pPr>
        <w:pStyle w:val="20"/>
        <w:spacing w:before="0" w:after="0" w:line="600" w:lineRule="exact"/>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（三）资金实际到位及使用情况</w:t>
      </w:r>
    </w:p>
    <w:p>
      <w:pPr>
        <w:spacing w:line="600" w:lineRule="exact"/>
        <w:ind w:firstLine="640" w:firstLineChars="200"/>
        <w:rPr>
          <w:rFonts w:ascii="仿宋" w:hAnsi="仿宋" w:eastAsia="仿宋"/>
          <w:sz w:val="32"/>
          <w:szCs w:val="32"/>
        </w:rPr>
      </w:pPr>
      <w:r>
        <w:rPr>
          <w:rFonts w:hint="eastAsia" w:ascii="仿宋" w:hAnsi="仿宋" w:eastAsia="仿宋"/>
          <w:snapToGrid w:val="0"/>
          <w:sz w:val="32"/>
          <w:szCs w:val="32"/>
        </w:rPr>
        <w:t>灌云县2017年基本公共卫生服务项目</w:t>
      </w:r>
      <w:r>
        <w:rPr>
          <w:rFonts w:hint="eastAsia" w:ascii="仿宋" w:hAnsi="仿宋" w:eastAsia="仿宋"/>
          <w:sz w:val="32"/>
          <w:szCs w:val="32"/>
        </w:rPr>
        <w:t>预算实际安排4834万元，指标金额全部按规定到位，资金到位率为</w:t>
      </w:r>
      <w:r>
        <w:rPr>
          <w:rFonts w:ascii="仿宋" w:hAnsi="仿宋" w:eastAsia="仿宋"/>
          <w:sz w:val="32"/>
          <w:szCs w:val="32"/>
        </w:rPr>
        <w:t>100%</w:t>
      </w:r>
      <w:r>
        <w:rPr>
          <w:rFonts w:hint="eastAsia" w:ascii="仿宋" w:hAnsi="仿宋" w:eastAsia="仿宋"/>
          <w:sz w:val="32"/>
          <w:szCs w:val="32"/>
        </w:rPr>
        <w:t>。</w:t>
      </w:r>
      <w:r>
        <w:rPr>
          <w:rFonts w:ascii="仿宋" w:hAnsi="仿宋" w:eastAsia="仿宋"/>
          <w:sz w:val="32"/>
          <w:szCs w:val="32"/>
        </w:rPr>
        <w:t>201</w:t>
      </w:r>
      <w:r>
        <w:rPr>
          <w:rFonts w:hint="eastAsia" w:ascii="仿宋" w:hAnsi="仿宋" w:eastAsia="仿宋"/>
          <w:sz w:val="32"/>
          <w:szCs w:val="32"/>
        </w:rPr>
        <w:t>7年共计支出4830.36万元，实际支出率99.92</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2017年基本公共卫生服务项目资金已拨付到各乡镇卫生院：</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2017年3月第一次拨付500万元；</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2017年6月第二次拨付2270万元；</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2017年11月第三次拨付615万元；</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2018年2月第四次拨付200万元；</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2018年3月第五次拨付951.3828万元；</w:t>
      </w:r>
    </w:p>
    <w:p>
      <w:pPr>
        <w:spacing w:line="600" w:lineRule="exact"/>
        <w:ind w:firstLine="640" w:firstLineChars="200"/>
        <w:rPr>
          <w:rFonts w:ascii="仿宋" w:hAnsi="仿宋" w:eastAsia="仿宋"/>
          <w:sz w:val="32"/>
          <w:szCs w:val="32"/>
        </w:rPr>
      </w:pPr>
      <w:r>
        <w:rPr>
          <w:rFonts w:hint="eastAsia" w:ascii="仿宋" w:hAnsi="仿宋" w:eastAsia="仿宋"/>
          <w:snapToGrid w:val="0"/>
          <w:sz w:val="32"/>
          <w:szCs w:val="32"/>
        </w:rPr>
        <w:t>2018年4月第六次拨付213.9772万元（目标考核奖励</w:t>
      </w:r>
      <w:r>
        <w:rPr>
          <w:rFonts w:hint="eastAsia" w:ascii="仿宋" w:hAnsi="仿宋" w:eastAsia="仿宋"/>
          <w:sz w:val="32"/>
          <w:szCs w:val="32"/>
        </w:rPr>
        <w:t>186.3716万元，灌西盐场19.363万元，连云港监狱医院8.2426万元）；。</w:t>
      </w:r>
    </w:p>
    <w:p>
      <w:pPr>
        <w:spacing w:line="600" w:lineRule="exact"/>
        <w:ind w:firstLine="630"/>
        <w:rPr>
          <w:rFonts w:ascii="仿宋" w:hAnsi="仿宋" w:eastAsia="仿宋"/>
          <w:sz w:val="32"/>
          <w:szCs w:val="32"/>
        </w:rPr>
      </w:pPr>
      <w:r>
        <w:rPr>
          <w:rFonts w:hint="eastAsia" w:ascii="仿宋" w:hAnsi="仿宋" w:eastAsia="仿宋"/>
          <w:sz w:val="32"/>
          <w:szCs w:val="32"/>
        </w:rPr>
        <w:t>2017年 11月支付宣传表册印刷费80万元。</w:t>
      </w:r>
    </w:p>
    <w:p>
      <w:pPr>
        <w:spacing w:line="600" w:lineRule="exact"/>
        <w:ind w:firstLine="630"/>
        <w:rPr>
          <w:rFonts w:ascii="仿宋" w:hAnsi="仿宋" w:eastAsia="仿宋"/>
          <w:sz w:val="32"/>
          <w:szCs w:val="32"/>
        </w:rPr>
      </w:pPr>
      <w:r>
        <w:rPr>
          <w:rFonts w:hint="eastAsia" w:ascii="仿宋" w:hAnsi="仿宋" w:eastAsia="仿宋"/>
          <w:sz w:val="32"/>
          <w:szCs w:val="32"/>
        </w:rPr>
        <w:t>支出合计4830.36万元。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涉及22个基层卫生院（项目）：</w:t>
      </w:r>
    </w:p>
    <w:tbl>
      <w:tblPr>
        <w:tblStyle w:val="9"/>
        <w:tblW w:w="8967" w:type="dxa"/>
        <w:jc w:val="center"/>
        <w:tblInd w:w="93" w:type="dxa"/>
        <w:tblLayout w:type="fixed"/>
        <w:tblCellMar>
          <w:top w:w="0" w:type="dxa"/>
          <w:left w:w="108" w:type="dxa"/>
          <w:bottom w:w="0" w:type="dxa"/>
          <w:right w:w="108" w:type="dxa"/>
        </w:tblCellMar>
      </w:tblPr>
      <w:tblGrid>
        <w:gridCol w:w="846"/>
        <w:gridCol w:w="2004"/>
        <w:gridCol w:w="2268"/>
        <w:gridCol w:w="1985"/>
        <w:gridCol w:w="1864"/>
      </w:tblGrid>
      <w:tr>
        <w:tblPrEx>
          <w:tblLayout w:type="fixed"/>
          <w:tblCellMar>
            <w:top w:w="0" w:type="dxa"/>
            <w:left w:w="108" w:type="dxa"/>
            <w:bottom w:w="0" w:type="dxa"/>
            <w:right w:w="108" w:type="dxa"/>
          </w:tblCellMar>
        </w:tblPrEx>
        <w:trPr>
          <w:trHeight w:val="270" w:hRule="atLeast"/>
          <w:tblHeader/>
          <w:jc w:val="center"/>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序号</w:t>
            </w:r>
          </w:p>
        </w:tc>
        <w:tc>
          <w:tcPr>
            <w:tcW w:w="2004" w:type="dxa"/>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单位（项目）</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2017年常住人口</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应拨经费</w:t>
            </w:r>
          </w:p>
        </w:tc>
        <w:tc>
          <w:tcPr>
            <w:tcW w:w="1864" w:type="dxa"/>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实拨经费</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杨集</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49,099.00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2,945,940.00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3,177,196.00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2</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下车</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40,252.00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2,415,120.00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2,604,707.00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3</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伊山镇</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143,685.00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8,621,100.00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9,297,856.00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4</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东王集</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57,292.00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3,437,520.00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3,707,365.00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5</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南岗</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34,071.00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2,044,260.00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2,204,734.00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6</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鲁河</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22,825.00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1,369,500.00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1,477,006.00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7</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侍庄</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48,433.00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2,905,980.00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3,134,272.00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8</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同兴</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28,993.00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1,739,580.00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1,565,622.00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9</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四队</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24,224.00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1,453,440.00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1,308,096.00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10</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穆圩</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27,645.00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1,658,700.00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1,492,830.00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11</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伊芦</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32,809.00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1,968,540.00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1,771,686.00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12</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陡沟</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44,920.00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2,695,200.00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2,425,680.00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13</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小伊</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50,495.00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3,029,700.00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2,726,730.00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14</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龙苴</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35,570.00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2,134,200.00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1,920,780.00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15</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圩丰</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38,778.00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2,326,680.00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2,094,012.00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16</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图河</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42,234.00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2,534,040.00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2,280,636.00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17</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白蚬</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32,850.00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1,971,000.00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1,773,900.00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18</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沂北</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31,376.00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1,882,560.00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1,694,304.00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19</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燕尾港</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10,558.00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633,480.00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570,132.00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20</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连云港监狱医院</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2,862.00</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171,720.00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82,426.00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21</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灌西盐场医院</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6,089.00</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365,340.00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193,630.00 </w:t>
            </w:r>
          </w:p>
        </w:tc>
      </w:tr>
      <w:tr>
        <w:tblPrEx>
          <w:tblLayout w:type="fixed"/>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22</w:t>
            </w:r>
          </w:p>
        </w:tc>
        <w:tc>
          <w:tcPr>
            <w:tcW w:w="2004"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宣传表册印刷费</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left"/>
              <w:rPr>
                <w:rFonts w:ascii="仿宋" w:hAnsi="仿宋" w:eastAsia="仿宋"/>
                <w:sz w:val="24"/>
                <w:szCs w:val="24"/>
              </w:rPr>
            </w:pPr>
            <w:r>
              <w:rPr>
                <w:rFonts w:hint="eastAsia" w:ascii="仿宋" w:hAnsi="仿宋" w:eastAsia="仿宋"/>
                <w:sz w:val="24"/>
                <w:szCs w:val="24"/>
              </w:rPr>
              <w:t>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800,000.00 </w:t>
            </w:r>
          </w:p>
        </w:tc>
      </w:tr>
      <w:tr>
        <w:tblPrEx>
          <w:tblLayout w:type="fixed"/>
          <w:tblCellMar>
            <w:top w:w="0" w:type="dxa"/>
            <w:left w:w="108" w:type="dxa"/>
            <w:bottom w:w="0" w:type="dxa"/>
            <w:right w:w="108" w:type="dxa"/>
          </w:tblCellMar>
        </w:tblPrEx>
        <w:trPr>
          <w:trHeight w:val="270" w:hRule="atLeast"/>
          <w:jc w:val="center"/>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600" w:lineRule="exact"/>
              <w:jc w:val="center"/>
              <w:rPr>
                <w:rFonts w:ascii="仿宋" w:hAnsi="仿宋" w:eastAsia="仿宋"/>
                <w:sz w:val="24"/>
                <w:szCs w:val="24"/>
              </w:rPr>
            </w:pPr>
            <w:r>
              <w:rPr>
                <w:rFonts w:hint="eastAsia" w:ascii="仿宋" w:hAnsi="仿宋" w:eastAsia="仿宋"/>
                <w:sz w:val="24"/>
                <w:szCs w:val="24"/>
              </w:rPr>
              <w:t>合计</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805,060.00 </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48,303,600.00 </w:t>
            </w:r>
          </w:p>
        </w:tc>
        <w:tc>
          <w:tcPr>
            <w:tcW w:w="1864" w:type="dxa"/>
            <w:tcBorders>
              <w:top w:val="nil"/>
              <w:left w:val="nil"/>
              <w:bottom w:val="single" w:color="auto" w:sz="4" w:space="0"/>
              <w:right w:val="single" w:color="auto" w:sz="4" w:space="0"/>
            </w:tcBorders>
            <w:shd w:val="clear" w:color="auto" w:fill="auto"/>
            <w:noWrap/>
            <w:vAlign w:val="center"/>
          </w:tcPr>
          <w:p>
            <w:pPr>
              <w:widowControl/>
              <w:spacing w:line="600" w:lineRule="exact"/>
              <w:jc w:val="right"/>
              <w:rPr>
                <w:rFonts w:ascii="仿宋" w:hAnsi="仿宋" w:eastAsia="仿宋"/>
                <w:sz w:val="24"/>
                <w:szCs w:val="24"/>
              </w:rPr>
            </w:pPr>
            <w:r>
              <w:rPr>
                <w:rFonts w:hint="eastAsia" w:ascii="仿宋" w:hAnsi="仿宋" w:eastAsia="仿宋"/>
                <w:sz w:val="24"/>
                <w:szCs w:val="24"/>
              </w:rPr>
              <w:t xml:space="preserve">48,303,600.00 </w:t>
            </w:r>
          </w:p>
        </w:tc>
      </w:tr>
    </w:tbl>
    <w:p>
      <w:pPr>
        <w:pStyle w:val="20"/>
        <w:spacing w:before="0" w:after="0" w:line="600" w:lineRule="exact"/>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（四）项目的组织管理</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县卫生计生委科室</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项目管理办公室。县卫生计生委设基本公共卫生服务项目管理办公室，负责基本公共卫生服务项目综合协调、政策调研、组织实施、信息监测、人员培训、项目宣传推广、问题整改、督导绩效考核组织实施等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2．规划与财务审计科。负责补助资金的落实、资金的核算、使用、及时拨付项目资金等项目资金管理工作。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3．爱国卫生管理科。负责健康教育资料的印刷、健康教育音影资料、健康教育宣传栏设置管理、健康教育讲座、公众健康咨询等健康教育工作。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4．疾病控制和综合监督科。负责预防接种、老年人健康管理、健康档案、慢病患者健康管理、传染病和突发公共卫生事件报告及处置、肺结核患者健康管理、严重精神障碍患者管理和卫生监督协管服务工作。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5．妇幼健康服务科。负责0－6岁儿童健康管理、孕产妇健康管理等妇幼健康管理工作。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6．医政科。负责老年人中医药健康管理、0－36个月儿童中医药健康管理等中医药健康管理工作。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7．办公室。负责宣传报道，相关资料印刷，交通等协调保障工作。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县直相关单位工作职责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1．县疾病预防控制中心。负责健康教育、预防接种、健康档案、老年人健康管理、慢病患者健康管理、肺结核患者健康管理、传染病及突发公共卫生事件报告和处理。</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2．县卫生监督所。负责卫生监督协管中食品安全信息报告、饮用水卫生安全巡查、学校卫生服务、非法行医和非法采供血信息报告。</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3．县妇幼保健计划生育服务中心。负责0－6岁儿童和孕产妇健康管理项目的业务培训、现场指导、质量控制和效果评价。</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4．县精神病防治院。负责严重精神障碍患者健康管理。</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5．县人民医院。协助县疾病预防控制中心对传染病、肺结核、慢病患者管理项目的业务培训、现场指导、质量控制和效果评价。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6．县中医院。协助县疾病预防控制中心和县妇幼保健所对老年人、0－36个月儿童中医药健康管理服务项目的业务培训、现场指导、质量控制和效果评价。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基层医疗卫生机构工作职责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1．乡镇卫生院。负责12大类46项指标的具体实施、数据收集汇总、质量控制等工作，并负责辖区内镇、村两级项目实施的业务培训、督査考核等工作。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2．村卫生室。负责居民健康管理及重点人群管理等工作承担基本公共卫生服务工作不少于总量的40％。</w:t>
      </w:r>
    </w:p>
    <w:p>
      <w:pPr>
        <w:pStyle w:val="20"/>
        <w:spacing w:before="0" w:after="0" w:line="600" w:lineRule="exact"/>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(五)项目绩效目标</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1</w:t>
      </w:r>
      <w:r>
        <w:rPr>
          <w:rFonts w:hint="eastAsia" w:ascii="仿宋" w:hAnsi="仿宋" w:eastAsia="仿宋"/>
          <w:sz w:val="32"/>
          <w:szCs w:val="32"/>
        </w:rPr>
        <w:t>．</w:t>
      </w:r>
      <w:r>
        <w:rPr>
          <w:rFonts w:hint="eastAsia" w:ascii="仿宋" w:hAnsi="仿宋" w:eastAsia="仿宋"/>
          <w:snapToGrid w:val="0"/>
          <w:sz w:val="32"/>
          <w:szCs w:val="32"/>
        </w:rPr>
        <w:t>总体目标</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2017年，灌云县基本公共卫生服务项目人均经费补助标准不低于60元，为全县居民免费提供公平、有效、方便的12类46项国家基本公共卫生服务，对影响居民健康问题实施干预措施，减少主要健康危险因素，有效预防和控制主要传染病及慢性病，各项指标达到或超过上级规定要求，提高基本公共卫生服务和突发公共卫生事件应急处置能力，居民知晓率达60%以上、满意度达90％以上，全面提高居民健康水平。</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2</w:t>
      </w:r>
      <w:r>
        <w:rPr>
          <w:rFonts w:hint="eastAsia" w:ascii="仿宋" w:hAnsi="仿宋" w:eastAsia="仿宋"/>
          <w:sz w:val="32"/>
          <w:szCs w:val="32"/>
        </w:rPr>
        <w:t>．</w:t>
      </w:r>
      <w:r>
        <w:rPr>
          <w:rFonts w:hint="eastAsia" w:ascii="仿宋" w:hAnsi="仿宋" w:eastAsia="仿宋"/>
          <w:snapToGrid w:val="0"/>
          <w:sz w:val="32"/>
          <w:szCs w:val="32"/>
        </w:rPr>
        <w:t>主要目标</w:t>
      </w:r>
    </w:p>
    <w:p>
      <w:pPr>
        <w:spacing w:line="600" w:lineRule="exact"/>
        <w:ind w:firstLine="640" w:firstLineChars="200"/>
        <w:jc w:val="both"/>
        <w:rPr>
          <w:rFonts w:ascii="仿宋" w:hAnsi="仿宋" w:eastAsia="仿宋"/>
          <w:snapToGrid w:val="0"/>
          <w:sz w:val="32"/>
          <w:szCs w:val="32"/>
        </w:rPr>
      </w:pPr>
      <w:r>
        <w:rPr>
          <w:rFonts w:hint="eastAsia" w:ascii="仿宋" w:hAnsi="仿宋" w:eastAsia="仿宋"/>
          <w:snapToGrid w:val="0"/>
          <w:sz w:val="32"/>
          <w:szCs w:val="32"/>
        </w:rPr>
        <w:t>（1）居民健康档案管理。以儿童、孕产妇、老年人、慢性病患者及基层医疗卫生机构就诊人群等为重点，扩大健康档案覆盖面，以乡镇为单位，居民规范化电子健康档案建档率≥75％。</w:t>
      </w:r>
    </w:p>
    <w:p>
      <w:pPr>
        <w:spacing w:line="600" w:lineRule="exact"/>
        <w:ind w:firstLine="640" w:firstLineChars="200"/>
        <w:jc w:val="both"/>
        <w:rPr>
          <w:rFonts w:ascii="仿宋" w:hAnsi="仿宋" w:eastAsia="仿宋"/>
          <w:snapToGrid w:val="0"/>
          <w:sz w:val="32"/>
          <w:szCs w:val="32"/>
        </w:rPr>
      </w:pPr>
      <w:r>
        <w:rPr>
          <w:rFonts w:hint="eastAsia" w:ascii="仿宋" w:hAnsi="仿宋" w:eastAsia="仿宋"/>
          <w:snapToGrid w:val="0"/>
          <w:sz w:val="32"/>
          <w:szCs w:val="32"/>
        </w:rPr>
        <w:t>（2）健康教育。每个基层医疗卫生机构要有设施齐全的健康教育场地，每年提供12种以上内容的印刷资料，每年播放音像资料不少于6种，要有音像播放记录。乡镇卫生院宣传栏不少于2个，宣传栏内容每月更新1次，每年至少开展9次公众健康咨询活动和18次健康知识讲座。村卫生室宣传栏不少于1个，宣传栏内容每月更新1次，每年至少举办9次健康知识讲座。要为辖区居民开展有针对性的个体化健康教育知识和健康技能的教育，并开展养生保健知识等中医健康教育。</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（3）预防接种。适龄儿童预防接种证建证率达100％，一类国家免疫规划疫苗接种率≥90％，加强预防接种信息管理，定期开展漏种排查并及时补种。每半年对责任区内儿童的预防接种卡进行1次核查和整理。</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4）0～6岁儿童健康管理。新生儿访视率、儿童健康管理率≥85％。要按照《国家基本公共卫生服务规范（第三版）》要求，在规定时间内，按照相应年龄，为新生儿、婴幼儿、学龄前儿童提供体格检查、生长发育和心理行为评估、健康指导等健康管理服务。积极应用中医药方法，为儿童提供生长发育及疾病预防等健康指导。</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（5）孕产妇健康管理。按规范要求为孕产妇提供保健服务，保证孕产妇至少接受5次产前检查和2次产后访视服务，确保早孕建卡率、产前健康管理率、产后访视率均≥85％、孕产妇健康管理</w:t>
      </w:r>
      <w:r>
        <w:rPr>
          <w:rFonts w:hint="eastAsia" w:ascii="仿宋" w:hAnsi="仿宋" w:eastAsia="仿宋"/>
          <w:snapToGrid w:val="0"/>
          <w:color w:val="000000" w:themeColor="text1"/>
          <w:sz w:val="32"/>
          <w:szCs w:val="32"/>
        </w:rPr>
        <w:t>率≥85</w:t>
      </w:r>
      <w:r>
        <w:rPr>
          <w:rFonts w:hint="eastAsia" w:ascii="仿宋" w:hAnsi="仿宋" w:eastAsia="仿宋"/>
          <w:snapToGrid w:val="0"/>
          <w:sz w:val="32"/>
          <w:szCs w:val="32"/>
        </w:rPr>
        <w:t>％，积极运用中医药方法（如饮食起居情志调摄、食疗药膳、产后康复等），开展孕期、产褥期、哺乳期保健服务。</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6）老年人健康管理。老年人健康管理率≥67％。规范组织辖区内65岁及以上老年人进行免费健康体检工作，保证老年人必要的体格检査和实验室检查项目，并做好检查结果反馈工作，实行分类健康指导，提高老年人健康保健意识。积极应用中医药方法为老年人提供养生保健、疾病防治等健康指导。</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7）慢性病患者健康管理。35岁以上人群门诊就诊血压测量率＞95％，对确诊的原发性高血压和2型糖尿病患者每年至少提供4次面对面的随访，对2型糖尿病高危人群每年至少测量1次空腹血糖，包括病情评估、生活和用药指导等。高血压患者规范管理率≥60％，2型糖尿病患者规范管理率≥60％。</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（8）肺结核患者健康管理。基层医疗卫生机构按照肺结核患者健康管理服务规范要求，对辖区内结核病定点医院确诊并通知管理的患者开展健康管理服务，肺结核患者管理率＞90％。</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9）严重精神障碍患者管理。辖区内严重精神障碍患者规范管理率≥75％；对应管理的严重精神障碍患者每年至少随访4次，每次随访应对患者进行危险性评估，在患者病情许可的情况下，征得监护人和患者本人同意后，每年进行1次健康检查，可与随访相结合。</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（10）传染病及突发公共卫生事件报告和处理。传染病和突发公共卫生事件相关信息报告率均达100%。传染病和突发公共卫生事件处理率达100％。</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11）卫生监督协管。基层医卫生机构有卫生监督协管工作有关制度，相关工作记录，卫生监督协管信息登记报告表，卫生监督协管信息报告率100%。对饮用水卫生安全、学校卫生、非法行医、非法采供血开展巡查，并做好巡查登记工作和业务培训。</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（12）中医药健康管理服务。65岁及以上老年人中医药健康管理服务率≥45％，0－36个月儿童中医药健康管理服务率≥45％。</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3</w:t>
      </w:r>
      <w:r>
        <w:rPr>
          <w:rFonts w:hint="eastAsia" w:ascii="仿宋" w:hAnsi="仿宋" w:eastAsia="仿宋"/>
          <w:sz w:val="32"/>
          <w:szCs w:val="32"/>
        </w:rPr>
        <w:t>．</w:t>
      </w:r>
      <w:r>
        <w:rPr>
          <w:rFonts w:hint="eastAsia" w:ascii="仿宋" w:hAnsi="仿宋" w:eastAsia="仿宋"/>
          <w:snapToGrid w:val="0"/>
          <w:sz w:val="32"/>
          <w:szCs w:val="32"/>
        </w:rPr>
        <w:t>项目效果</w:t>
      </w:r>
    </w:p>
    <w:p>
      <w:pPr>
        <w:spacing w:line="60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现场抽查的健康档案使用率＞50％，抽查的高血压患者血压控制率≥60％，抽查的糖尿病患者血糖控制率≥60％。了解乡镇居民对国家基本公共卫生服务项目有关服务的知晓程度，以及对有关健康知识的知晓程度，重点调查接受基本公共卫生服务的重点人群，知晓率达60％以上</w:t>
      </w:r>
      <w:r>
        <w:rPr>
          <w:rFonts w:hint="eastAsia" w:ascii="仿宋" w:hAnsi="仿宋" w:eastAsia="仿宋"/>
          <w:sz w:val="32"/>
          <w:szCs w:val="32"/>
        </w:rPr>
        <w:t>、满意度达90％以上</w:t>
      </w:r>
      <w:r>
        <w:rPr>
          <w:rFonts w:hint="eastAsia" w:ascii="仿宋" w:hAnsi="仿宋" w:eastAsia="仿宋"/>
          <w:snapToGrid w:val="0"/>
          <w:sz w:val="32"/>
          <w:szCs w:val="32"/>
        </w:rPr>
        <w:t>。了解乡镇居民对所获得的基本公共卫生服务的满意程度，包括服务态度、方便性、及时性、服务质量等，重点调查接受基本公共卫生服务的重点人群。</w:t>
      </w:r>
    </w:p>
    <w:p>
      <w:pPr>
        <w:pStyle w:val="20"/>
        <w:spacing w:before="0" w:after="0" w:line="600" w:lineRule="exact"/>
        <w:ind w:firstLine="640" w:firstLineChars="200"/>
        <w:rPr>
          <w:rFonts w:hint="eastAsia" w:ascii="黑体" w:hAnsi="黑体" w:eastAsia="黑体" w:cs="黑体"/>
          <w:b w:val="0"/>
          <w:bCs/>
          <w:color w:val="0D0D0D"/>
          <w:szCs w:val="32"/>
        </w:rPr>
      </w:pPr>
      <w:r>
        <w:rPr>
          <w:rFonts w:hint="eastAsia" w:ascii="黑体" w:hAnsi="黑体" w:eastAsia="黑体" w:cs="黑体"/>
          <w:b w:val="0"/>
          <w:bCs/>
          <w:color w:val="0D0D0D"/>
          <w:szCs w:val="32"/>
        </w:rPr>
        <w:t>二、绩效评价组织实施情况</w:t>
      </w:r>
      <w:bookmarkStart w:id="10" w:name="_Toc466988527"/>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（一）评价目的</w:t>
      </w:r>
      <w:bookmarkEnd w:id="10"/>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.全面评价</w:t>
      </w:r>
      <w:r>
        <w:rPr>
          <w:rFonts w:hint="eastAsia" w:ascii="仿宋" w:hAnsi="仿宋" w:eastAsia="仿宋"/>
          <w:snapToGrid w:val="0"/>
          <w:sz w:val="32"/>
          <w:szCs w:val="32"/>
        </w:rPr>
        <w:t>灌云县2017年基本公共卫生服务项目</w:t>
      </w:r>
      <w:r>
        <w:rPr>
          <w:rFonts w:hint="eastAsia" w:ascii="仿宋" w:hAnsi="仿宋" w:eastAsia="仿宋"/>
          <w:sz w:val="32"/>
          <w:szCs w:val="32"/>
        </w:rPr>
        <w:t>使用、资金支出效果等情况，定量和定性分析</w:t>
      </w:r>
      <w:r>
        <w:rPr>
          <w:rFonts w:hint="eastAsia" w:ascii="仿宋" w:hAnsi="仿宋" w:eastAsia="仿宋"/>
          <w:snapToGrid w:val="0"/>
          <w:sz w:val="32"/>
          <w:szCs w:val="32"/>
        </w:rPr>
        <w:t>灌云县2017年基本公共卫生服务项目</w:t>
      </w:r>
      <w:r>
        <w:rPr>
          <w:rFonts w:hint="eastAsia" w:ascii="仿宋" w:hAnsi="仿宋" w:eastAsia="仿宋"/>
          <w:sz w:val="32"/>
          <w:szCs w:val="32"/>
        </w:rPr>
        <w:t>的社会、经济效益，</w:t>
      </w:r>
      <w:bookmarkStart w:id="11" w:name="_Toc205570019"/>
      <w:bookmarkStart w:id="12" w:name="_Toc261536217"/>
      <w:r>
        <w:rPr>
          <w:rFonts w:hint="eastAsia" w:ascii="仿宋" w:hAnsi="仿宋" w:eastAsia="仿宋"/>
          <w:sz w:val="32"/>
          <w:szCs w:val="32"/>
        </w:rPr>
        <w:t>查找财政资金分配和管理中的薄弱环节，促进财政资金管理水平，提高财政资金使用效益。</w:t>
      </w:r>
    </w:p>
    <w:bookmarkEnd w:id="11"/>
    <w:bookmarkEnd w:id="12"/>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.推动与规范</w:t>
      </w:r>
      <w:r>
        <w:rPr>
          <w:rFonts w:hint="eastAsia" w:ascii="仿宋" w:hAnsi="仿宋" w:eastAsia="仿宋"/>
          <w:snapToGrid w:val="0"/>
          <w:sz w:val="32"/>
          <w:szCs w:val="32"/>
        </w:rPr>
        <w:t>灌云县2017年基本公共卫生服务项目</w:t>
      </w:r>
      <w:r>
        <w:rPr>
          <w:rFonts w:hint="eastAsia" w:ascii="仿宋" w:hAnsi="仿宋" w:eastAsia="仿宋"/>
          <w:sz w:val="32"/>
          <w:szCs w:val="32"/>
        </w:rPr>
        <w:t>的绩效评价工作，不断建立与实际相适应的指标体系，提高资金管理的科学化、精细化水平，从而为建立科学合理的财政预算绩效管理体系提供经验。</w:t>
      </w:r>
      <w:bookmarkStart w:id="13" w:name="_Toc466988528"/>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（二）评价依据</w:t>
      </w:r>
      <w:bookmarkEnd w:id="13"/>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.《财政支出绩效评价管理暂行办法》（财预〔</w:t>
      </w:r>
      <w:r>
        <w:rPr>
          <w:rFonts w:ascii="仿宋" w:hAnsi="仿宋" w:eastAsia="仿宋"/>
          <w:sz w:val="32"/>
          <w:szCs w:val="32"/>
        </w:rPr>
        <w:t>2009</w:t>
      </w:r>
      <w:r>
        <w:rPr>
          <w:rFonts w:hint="eastAsia" w:ascii="仿宋" w:hAnsi="仿宋" w:eastAsia="仿宋"/>
          <w:sz w:val="32"/>
          <w:szCs w:val="32"/>
        </w:rPr>
        <w:t>〕</w:t>
      </w:r>
      <w:r>
        <w:rPr>
          <w:rFonts w:ascii="仿宋" w:hAnsi="仿宋" w:eastAsia="仿宋"/>
          <w:sz w:val="32"/>
          <w:szCs w:val="32"/>
        </w:rPr>
        <w:t>76</w:t>
      </w:r>
      <w:r>
        <w:rPr>
          <w:rFonts w:hint="eastAsia" w:ascii="仿宋" w:hAnsi="仿宋" w:eastAsia="仿宋"/>
          <w:sz w:val="32"/>
          <w:szCs w:val="32"/>
        </w:rPr>
        <w:t>号）</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snapToGrid w:val="0"/>
          <w:kern w:val="0"/>
          <w:sz w:val="32"/>
          <w:szCs w:val="32"/>
        </w:rPr>
        <w:t>国家卫生和计划生育委员会、财政部、国家中医药局《关于做好2017年国家基本公共卫生服务项目工作的通知》（国卫基层发</w:t>
      </w:r>
      <w:r>
        <w:rPr>
          <w:rFonts w:hint="eastAsia" w:ascii="仿宋" w:hAnsi="仿宋" w:eastAsia="仿宋"/>
          <w:sz w:val="32"/>
          <w:szCs w:val="32"/>
        </w:rPr>
        <w:t>〔</w:t>
      </w:r>
      <w:r>
        <w:rPr>
          <w:rFonts w:ascii="仿宋" w:hAnsi="仿宋" w:eastAsia="仿宋"/>
          <w:sz w:val="32"/>
          <w:szCs w:val="32"/>
        </w:rPr>
        <w:t>2017</w:t>
      </w:r>
      <w:r>
        <w:rPr>
          <w:rFonts w:hint="eastAsia" w:ascii="仿宋" w:hAnsi="仿宋" w:eastAsia="仿宋"/>
          <w:sz w:val="32"/>
          <w:szCs w:val="32"/>
        </w:rPr>
        <w:t>〕46号）</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关于印发&lt;</w:t>
      </w:r>
      <w:r>
        <w:rPr>
          <w:rFonts w:hint="eastAsia" w:ascii="仿宋" w:hAnsi="仿宋" w:eastAsia="仿宋"/>
          <w:sz w:val="32"/>
          <w:szCs w:val="32"/>
        </w:rPr>
        <w:t>江苏省公共卫生与计划生育服务补助资金管理（暂行）办法</w:t>
      </w:r>
      <w:r>
        <w:rPr>
          <w:rFonts w:ascii="仿宋" w:hAnsi="仿宋" w:eastAsia="仿宋"/>
          <w:sz w:val="32"/>
          <w:szCs w:val="32"/>
        </w:rPr>
        <w:t>&gt;的通知</w:t>
      </w:r>
      <w:r>
        <w:rPr>
          <w:rFonts w:hint="eastAsia" w:ascii="仿宋" w:hAnsi="仿宋" w:eastAsia="仿宋"/>
          <w:sz w:val="32"/>
          <w:szCs w:val="32"/>
        </w:rPr>
        <w:t>》（苏财社〔</w:t>
      </w:r>
      <w:r>
        <w:rPr>
          <w:rFonts w:ascii="仿宋" w:hAnsi="仿宋" w:eastAsia="仿宋"/>
          <w:sz w:val="32"/>
          <w:szCs w:val="32"/>
        </w:rPr>
        <w:t>20</w:t>
      </w:r>
      <w:r>
        <w:rPr>
          <w:rFonts w:hint="eastAsia" w:ascii="仿宋" w:hAnsi="仿宋" w:eastAsia="仿宋"/>
          <w:sz w:val="32"/>
          <w:szCs w:val="32"/>
        </w:rPr>
        <w:t>17〕82号）</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关于印发&lt;灌云县</w:t>
      </w:r>
      <w:r>
        <w:rPr>
          <w:rFonts w:hint="eastAsia" w:ascii="仿宋" w:hAnsi="仿宋" w:eastAsia="仿宋"/>
          <w:sz w:val="32"/>
          <w:szCs w:val="32"/>
        </w:rPr>
        <w:t>基本公共卫生服务项目绩效考核</w:t>
      </w:r>
      <w:r>
        <w:rPr>
          <w:rFonts w:ascii="仿宋" w:hAnsi="仿宋" w:eastAsia="仿宋"/>
          <w:sz w:val="32"/>
          <w:szCs w:val="32"/>
        </w:rPr>
        <w:t>&gt;的通知</w:t>
      </w:r>
      <w:r>
        <w:rPr>
          <w:rFonts w:hint="eastAsia" w:ascii="仿宋" w:hAnsi="仿宋" w:eastAsia="仿宋"/>
          <w:sz w:val="32"/>
          <w:szCs w:val="32"/>
        </w:rPr>
        <w:t>》（</w:t>
      </w:r>
      <w:r>
        <w:rPr>
          <w:rFonts w:ascii="仿宋" w:hAnsi="仿宋" w:eastAsia="仿宋"/>
          <w:sz w:val="32"/>
          <w:szCs w:val="32"/>
        </w:rPr>
        <w:t>灌</w:t>
      </w:r>
      <w:r>
        <w:rPr>
          <w:rFonts w:hint="eastAsia" w:ascii="仿宋" w:hAnsi="仿宋" w:eastAsia="仿宋"/>
          <w:sz w:val="32"/>
          <w:szCs w:val="32"/>
        </w:rPr>
        <w:t>卫</w:t>
      </w:r>
      <w:r>
        <w:rPr>
          <w:rFonts w:ascii="仿宋" w:hAnsi="仿宋" w:eastAsia="仿宋"/>
          <w:sz w:val="32"/>
          <w:szCs w:val="32"/>
        </w:rPr>
        <w:t>〔201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113</w:t>
      </w:r>
      <w:r>
        <w:rPr>
          <w:rFonts w:ascii="仿宋" w:hAnsi="仿宋" w:eastAsia="仿宋"/>
          <w:sz w:val="32"/>
          <w:szCs w:val="32"/>
        </w:rPr>
        <w:t>号</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关于印发&lt;灌云县</w:t>
      </w:r>
      <w:r>
        <w:rPr>
          <w:rFonts w:hint="eastAsia" w:ascii="仿宋" w:hAnsi="仿宋" w:eastAsia="仿宋"/>
          <w:sz w:val="32"/>
          <w:szCs w:val="32"/>
        </w:rPr>
        <w:t>2017年基本公共卫生服务项目实施方案</w:t>
      </w:r>
      <w:r>
        <w:rPr>
          <w:rFonts w:ascii="仿宋" w:hAnsi="仿宋" w:eastAsia="仿宋"/>
          <w:sz w:val="32"/>
          <w:szCs w:val="32"/>
        </w:rPr>
        <w:t>&gt;的通知</w:t>
      </w:r>
      <w:r>
        <w:rPr>
          <w:rFonts w:hint="eastAsia" w:ascii="仿宋" w:hAnsi="仿宋" w:eastAsia="仿宋"/>
          <w:sz w:val="32"/>
          <w:szCs w:val="32"/>
        </w:rPr>
        <w:t>》（</w:t>
      </w:r>
      <w:r>
        <w:rPr>
          <w:rFonts w:ascii="仿宋" w:hAnsi="仿宋" w:eastAsia="仿宋"/>
          <w:sz w:val="32"/>
          <w:szCs w:val="32"/>
        </w:rPr>
        <w:t>灌</w:t>
      </w:r>
      <w:r>
        <w:rPr>
          <w:rFonts w:hint="eastAsia" w:ascii="仿宋" w:hAnsi="仿宋" w:eastAsia="仿宋"/>
          <w:sz w:val="32"/>
          <w:szCs w:val="32"/>
        </w:rPr>
        <w:t>卫</w:t>
      </w:r>
      <w:r>
        <w:rPr>
          <w:rFonts w:ascii="仿宋" w:hAnsi="仿宋" w:eastAsia="仿宋"/>
          <w:sz w:val="32"/>
          <w:szCs w:val="32"/>
        </w:rPr>
        <w:t>〔201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23</w:t>
      </w:r>
      <w:r>
        <w:rPr>
          <w:rFonts w:ascii="仿宋" w:hAnsi="仿宋" w:eastAsia="仿宋"/>
          <w:sz w:val="32"/>
          <w:szCs w:val="32"/>
        </w:rPr>
        <w:t>号</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《灌云县财政局关于印发&lt;灌云县县级财政专项资金管理办法&gt;的通知》（灌财规〔2013〕3号）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《关于印发&lt;灌云县专项资金预算绩效目标管理暂行办法&gt;的通知》（灌财规〔2013〕8号）</w:t>
      </w:r>
    </w:p>
    <w:p>
      <w:pPr>
        <w:spacing w:line="600" w:lineRule="exact"/>
        <w:ind w:firstLine="636" w:firstLineChars="199"/>
        <w:jc w:val="left"/>
        <w:rPr>
          <w:rFonts w:ascii="仿宋" w:hAnsi="仿宋" w:eastAsia="仿宋"/>
          <w:sz w:val="32"/>
          <w:szCs w:val="32"/>
        </w:rPr>
      </w:pPr>
      <w:r>
        <w:rPr>
          <w:rFonts w:hint="eastAsia" w:ascii="仿宋" w:hAnsi="仿宋" w:eastAsia="仿宋"/>
          <w:sz w:val="32"/>
          <w:szCs w:val="32"/>
        </w:rPr>
        <w:t>8.《关于开展2018年县级财政专项资金绩效评价工作的通知》（</w:t>
      </w:r>
      <w:r>
        <w:rPr>
          <w:rFonts w:ascii="仿宋" w:hAnsi="仿宋" w:eastAsia="仿宋"/>
          <w:sz w:val="32"/>
          <w:szCs w:val="32"/>
        </w:rPr>
        <w:t>灌财绩〔2018〕</w:t>
      </w:r>
      <w:r>
        <w:rPr>
          <w:rFonts w:hint="eastAsia" w:ascii="仿宋" w:hAnsi="仿宋" w:eastAsia="仿宋"/>
          <w:sz w:val="32"/>
          <w:szCs w:val="32"/>
        </w:rPr>
        <w:t>4</w:t>
      </w:r>
      <w:r>
        <w:rPr>
          <w:rFonts w:ascii="仿宋" w:hAnsi="仿宋" w:eastAsia="仿宋"/>
          <w:sz w:val="32"/>
          <w:szCs w:val="32"/>
        </w:rPr>
        <w:t>号</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9.相关行业政策、行业标准及专业技术规范</w:t>
      </w:r>
      <w:bookmarkStart w:id="14" w:name="_Toc466988529"/>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（三）评价原则、方法</w:t>
      </w:r>
      <w:bookmarkEnd w:id="14"/>
      <w:bookmarkStart w:id="15" w:name="_Toc432756788"/>
    </w:p>
    <w:bookmarkEnd w:id="15"/>
    <w:p>
      <w:pPr>
        <w:spacing w:line="600" w:lineRule="exact"/>
        <w:ind w:firstLine="640" w:firstLineChars="200"/>
        <w:rPr>
          <w:rFonts w:ascii="仿宋" w:hAnsi="仿宋" w:eastAsia="仿宋"/>
          <w:sz w:val="32"/>
          <w:szCs w:val="32"/>
        </w:rPr>
      </w:pPr>
      <w:r>
        <w:rPr>
          <w:rFonts w:hint="eastAsia" w:ascii="仿宋" w:hAnsi="仿宋" w:eastAsia="仿宋"/>
          <w:sz w:val="32"/>
          <w:szCs w:val="32"/>
        </w:rPr>
        <w:t>本次绩效评价秉承科学规范、公平公正、绩效相关等原则。重点关注项目资金预算执行情况和组织管理、资金管理、项目执行、项目效果等几个方面，结合</w:t>
      </w:r>
      <w:r>
        <w:rPr>
          <w:rFonts w:hint="eastAsia" w:ascii="仿宋" w:hAnsi="仿宋" w:eastAsia="仿宋"/>
          <w:snapToGrid w:val="0"/>
          <w:sz w:val="32"/>
          <w:szCs w:val="32"/>
        </w:rPr>
        <w:t>灌云县2017年基本公共卫生服务项目</w:t>
      </w:r>
      <w:r>
        <w:rPr>
          <w:rFonts w:hint="eastAsia" w:ascii="仿宋" w:hAnsi="仿宋" w:eastAsia="仿宋"/>
          <w:sz w:val="32"/>
          <w:szCs w:val="32"/>
        </w:rPr>
        <w:t>的实际开展情况，运用定量和定性分析相结合的方法，对项目进行客观公正的评价。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本次评价，通过查看项目立项、各单位专项资金扶持项目申报材料、总结报告、专项资金管理办法、有关明细账等资料；对上述项目的资金投入、组织管理、项目执行、项目效果等方面进行了认真的检查和评估。</w:t>
      </w:r>
    </w:p>
    <w:p>
      <w:pPr>
        <w:spacing w:line="600" w:lineRule="exact"/>
        <w:ind w:firstLine="640" w:firstLineChars="200"/>
        <w:rPr>
          <w:rFonts w:hint="eastAsia" w:ascii="楷体" w:hAnsi="楷体" w:eastAsia="楷体" w:cs="楷体"/>
          <w:b w:val="0"/>
          <w:bCs/>
          <w:sz w:val="32"/>
          <w:szCs w:val="32"/>
        </w:rPr>
      </w:pPr>
      <w:bookmarkStart w:id="16" w:name="_Toc466988530"/>
      <w:r>
        <w:rPr>
          <w:rFonts w:hint="eastAsia" w:ascii="楷体" w:hAnsi="楷体" w:eastAsia="楷体" w:cs="楷体"/>
          <w:b w:val="0"/>
          <w:bCs/>
          <w:sz w:val="32"/>
          <w:szCs w:val="32"/>
        </w:rPr>
        <w:t>（四）</w:t>
      </w:r>
      <w:bookmarkStart w:id="17" w:name="_Toc468092033"/>
      <w:r>
        <w:rPr>
          <w:rFonts w:hint="eastAsia" w:ascii="楷体" w:hAnsi="楷体" w:eastAsia="楷体" w:cs="楷体"/>
          <w:b w:val="0"/>
          <w:bCs/>
          <w:sz w:val="32"/>
          <w:szCs w:val="32"/>
        </w:rPr>
        <w:t>评价指标体系及标准</w:t>
      </w:r>
      <w:bookmarkEnd w:id="17"/>
    </w:p>
    <w:p>
      <w:pPr>
        <w:spacing w:line="600" w:lineRule="exact"/>
        <w:ind w:firstLine="640" w:firstLineChars="200"/>
        <w:rPr>
          <w:rFonts w:ascii="仿宋" w:hAnsi="仿宋" w:eastAsia="仿宋"/>
          <w:sz w:val="32"/>
          <w:szCs w:val="32"/>
        </w:rPr>
      </w:pPr>
      <w:r>
        <w:rPr>
          <w:rFonts w:hint="eastAsia" w:ascii="仿宋" w:hAnsi="仿宋" w:eastAsia="仿宋"/>
          <w:sz w:val="32"/>
          <w:szCs w:val="32"/>
        </w:rPr>
        <w:t>评价指标体系及标准详见附件</w:t>
      </w:r>
      <w:r>
        <w:rPr>
          <w:rFonts w:ascii="仿宋" w:hAnsi="仿宋" w:eastAsia="仿宋"/>
          <w:sz w:val="32"/>
          <w:szCs w:val="32"/>
        </w:rPr>
        <w:t>1</w:t>
      </w:r>
      <w:r>
        <w:rPr>
          <w:rFonts w:hint="eastAsia" w:ascii="仿宋" w:hAnsi="仿宋" w:eastAsia="仿宋"/>
          <w:sz w:val="32"/>
          <w:szCs w:val="32"/>
        </w:rPr>
        <w:t>综合评价表。</w:t>
      </w:r>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（五）评价工作的组织实施</w:t>
      </w:r>
      <w:bookmarkEnd w:id="16"/>
    </w:p>
    <w:p>
      <w:pPr>
        <w:spacing w:line="60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8年10月，连云港金源会计师事务所有限公司接受灌云县财政局的委托，遵照《财政支出绩效评价管理暂行办法》、《江苏省省级财政专项支出绩效评价规程》和其他相关业务政策、标准及规范要求，对</w:t>
      </w:r>
      <w:r>
        <w:rPr>
          <w:rFonts w:hint="eastAsia" w:ascii="仿宋" w:hAnsi="仿宋" w:eastAsia="仿宋"/>
          <w:snapToGrid w:val="0"/>
          <w:sz w:val="32"/>
          <w:szCs w:val="32"/>
        </w:rPr>
        <w:t>灌云县2017年基本公共卫生服务项目</w:t>
      </w:r>
      <w:r>
        <w:rPr>
          <w:rFonts w:hint="eastAsia" w:ascii="仿宋" w:hAnsi="仿宋" w:eastAsia="仿宋"/>
          <w:sz w:val="32"/>
          <w:szCs w:val="32"/>
        </w:rPr>
        <w:t>开展绩效评价，评价实施过程包括前期准备、组织实施和分析评价三个阶段，具体如下：</w:t>
      </w:r>
      <w:r>
        <w:rPr>
          <w:rFonts w:ascii="仿宋" w:hAnsi="仿宋" w:eastAsia="仿宋"/>
          <w:sz w:val="32"/>
          <w:szCs w:val="32"/>
        </w:rPr>
        <w:t xml:space="preserve"> </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.前期准备阶段。</w:t>
      </w:r>
    </w:p>
    <w:p>
      <w:pPr>
        <w:spacing w:line="60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10月上旬。成立绩效评价小组，进入项目实施单位，开展调查研究、分析论证并形成绩效评价工作方案。同时，搜集有关文件资料，结合项目的实际情况，设计了绩效评价指标体系与基础报表体系，为后期的数据获取、现场核查做了充分的准备。</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.组织实施阶段</w:t>
      </w:r>
    </w:p>
    <w:p>
      <w:pPr>
        <w:spacing w:line="60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8年10月中下旬。对项目情况进行核查，核查内容包括绩效评价基础表数据收集核对、项目资金的使用情况、绩效目标的完成情况，居民满意度，以及项目承担单位财务收支及管理等方面的内容。</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.综合评价阶段</w:t>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18年10月下旬。整理分析获取的基础数据等资料，依据制定的评价标准进行了评价指标打分，以定量和定性相结合的评价方法完成绩效评价报告。</w:t>
      </w:r>
    </w:p>
    <w:p>
      <w:pPr>
        <w:pStyle w:val="25"/>
        <w:spacing w:line="600" w:lineRule="exact"/>
        <w:ind w:firstLine="640"/>
        <w:rPr>
          <w:rFonts w:ascii="仿宋" w:hAnsi="仿宋" w:eastAsia="仿宋"/>
          <w:kern w:val="2"/>
          <w:sz w:val="32"/>
          <w:szCs w:val="32"/>
        </w:rPr>
      </w:pPr>
      <w:r>
        <w:rPr>
          <w:rFonts w:hint="eastAsia" w:ascii="仿宋" w:hAnsi="仿宋" w:eastAsia="仿宋"/>
          <w:kern w:val="2"/>
          <w:sz w:val="32"/>
          <w:szCs w:val="32"/>
        </w:rPr>
        <w:t>评价组运用设计的评价指标体系及评分标准，通过数据采集、访谈，对</w:t>
      </w:r>
      <w:r>
        <w:rPr>
          <w:rFonts w:hint="eastAsia" w:ascii="仿宋" w:hAnsi="仿宋" w:eastAsia="仿宋"/>
          <w:snapToGrid w:val="0"/>
          <w:sz w:val="32"/>
          <w:szCs w:val="32"/>
        </w:rPr>
        <w:t>灌云县2017年基本公共卫生服务项目</w:t>
      </w:r>
      <w:r>
        <w:rPr>
          <w:rFonts w:ascii="仿宋" w:hAnsi="仿宋" w:eastAsia="仿宋"/>
          <w:kern w:val="2"/>
          <w:sz w:val="32"/>
          <w:szCs w:val="32"/>
        </w:rPr>
        <w:t>项目进行客观评价</w:t>
      </w:r>
      <w:r>
        <w:rPr>
          <w:rFonts w:hint="eastAsia" w:ascii="仿宋" w:hAnsi="仿宋" w:eastAsia="仿宋"/>
          <w:kern w:val="2"/>
          <w:sz w:val="32"/>
          <w:szCs w:val="32"/>
        </w:rPr>
        <w:t>得到</w:t>
      </w:r>
      <w:r>
        <w:rPr>
          <w:rFonts w:ascii="仿宋" w:hAnsi="仿宋" w:eastAsia="仿宋"/>
          <w:kern w:val="2"/>
          <w:sz w:val="32"/>
          <w:szCs w:val="32"/>
        </w:rPr>
        <w:t>最终</w:t>
      </w:r>
      <w:r>
        <w:rPr>
          <w:rFonts w:hint="eastAsia" w:ascii="仿宋" w:hAnsi="仿宋" w:eastAsia="仿宋"/>
          <w:kern w:val="2"/>
          <w:sz w:val="32"/>
          <w:szCs w:val="32"/>
        </w:rPr>
        <w:t>评</w:t>
      </w:r>
      <w:r>
        <w:rPr>
          <w:rFonts w:hint="eastAsia" w:ascii="仿宋" w:hAnsi="仿宋" w:eastAsia="仿宋"/>
          <w:snapToGrid w:val="0"/>
          <w:sz w:val="32"/>
          <w:szCs w:val="32"/>
        </w:rPr>
        <w:t>分</w:t>
      </w:r>
      <w:r>
        <w:rPr>
          <w:rFonts w:ascii="仿宋" w:hAnsi="仿宋" w:eastAsia="仿宋"/>
          <w:snapToGrid w:val="0"/>
          <w:sz w:val="32"/>
          <w:szCs w:val="32"/>
        </w:rPr>
        <w:t>结果为</w:t>
      </w:r>
      <w:r>
        <w:rPr>
          <w:rFonts w:hint="eastAsia" w:ascii="仿宋" w:hAnsi="仿宋" w:eastAsia="仿宋"/>
          <w:snapToGrid w:val="0"/>
          <w:sz w:val="32"/>
          <w:szCs w:val="32"/>
        </w:rPr>
        <w:t>96.87分</w:t>
      </w:r>
      <w:r>
        <w:rPr>
          <w:rFonts w:ascii="仿宋" w:hAnsi="仿宋" w:eastAsia="仿宋"/>
          <w:snapToGrid w:val="0"/>
          <w:sz w:val="32"/>
          <w:szCs w:val="32"/>
        </w:rPr>
        <w:t>，</w:t>
      </w:r>
      <w:r>
        <w:rPr>
          <w:rFonts w:hint="eastAsia" w:ascii="仿宋" w:hAnsi="仿宋" w:eastAsia="仿宋"/>
          <w:snapToGrid w:val="0"/>
          <w:sz w:val="32"/>
          <w:szCs w:val="32"/>
        </w:rPr>
        <w:t>评</w:t>
      </w:r>
      <w:r>
        <w:rPr>
          <w:rFonts w:hint="eastAsia" w:ascii="仿宋" w:hAnsi="仿宋" w:eastAsia="仿宋"/>
          <w:kern w:val="2"/>
          <w:sz w:val="32"/>
          <w:szCs w:val="32"/>
        </w:rPr>
        <w:t>价</w:t>
      </w:r>
      <w:r>
        <w:rPr>
          <w:rFonts w:ascii="仿宋" w:hAnsi="仿宋" w:eastAsia="仿宋"/>
          <w:kern w:val="2"/>
          <w:sz w:val="32"/>
          <w:szCs w:val="32"/>
        </w:rPr>
        <w:t>结果为</w:t>
      </w:r>
      <w:r>
        <w:rPr>
          <w:rFonts w:hint="eastAsia" w:ascii="仿宋" w:hAnsi="仿宋" w:eastAsia="仿宋"/>
          <w:kern w:val="2"/>
          <w:sz w:val="32"/>
          <w:szCs w:val="32"/>
        </w:rPr>
        <w:t>“优”，由项目</w:t>
      </w:r>
      <w:r>
        <w:rPr>
          <w:rFonts w:ascii="仿宋" w:hAnsi="仿宋" w:eastAsia="仿宋"/>
          <w:kern w:val="2"/>
          <w:sz w:val="32"/>
          <w:szCs w:val="32"/>
        </w:rPr>
        <w:t>整体绩效分值</w:t>
      </w:r>
      <w:r>
        <w:rPr>
          <w:rFonts w:hint="eastAsia" w:ascii="仿宋" w:hAnsi="仿宋" w:eastAsia="仿宋"/>
          <w:kern w:val="2"/>
          <w:sz w:val="32"/>
          <w:szCs w:val="32"/>
        </w:rPr>
        <w:t>表可见（</w:t>
      </w:r>
      <w:r>
        <w:rPr>
          <w:rFonts w:ascii="仿宋" w:hAnsi="仿宋" w:eastAsia="仿宋"/>
          <w:kern w:val="2"/>
          <w:sz w:val="32"/>
          <w:szCs w:val="32"/>
        </w:rPr>
        <w:t>根据《江苏省省级预算绩效评价管理规程》（苏财绩〔2017〕1号）评价得分90-100，绩效评级为优；得分在80-89分的，绩效评级为良；得分在70-79的，绩效评级为一般；69分以下的，绩效评级为差</w:t>
      </w:r>
      <w:r>
        <w:rPr>
          <w:rFonts w:hint="eastAsia" w:ascii="仿宋" w:hAnsi="仿宋" w:eastAsia="仿宋"/>
          <w:kern w:val="2"/>
          <w:sz w:val="32"/>
          <w:szCs w:val="32"/>
        </w:rPr>
        <w:t>）。</w:t>
      </w:r>
    </w:p>
    <w:p>
      <w:pPr>
        <w:spacing w:line="600" w:lineRule="exact"/>
        <w:jc w:val="center"/>
        <w:rPr>
          <w:rFonts w:ascii="仿宋" w:hAnsi="仿宋" w:eastAsia="仿宋"/>
          <w:sz w:val="32"/>
          <w:szCs w:val="32"/>
        </w:rPr>
      </w:pPr>
      <w:r>
        <w:rPr>
          <w:rFonts w:hint="eastAsia" w:ascii="仿宋" w:hAnsi="仿宋" w:eastAsia="仿宋"/>
          <w:sz w:val="32"/>
          <w:szCs w:val="32"/>
        </w:rPr>
        <w:t>项目</w:t>
      </w:r>
      <w:r>
        <w:rPr>
          <w:rFonts w:ascii="仿宋" w:hAnsi="仿宋" w:eastAsia="仿宋"/>
          <w:sz w:val="32"/>
          <w:szCs w:val="32"/>
        </w:rPr>
        <w:t>整体绩效分值</w:t>
      </w:r>
      <w:r>
        <w:rPr>
          <w:rFonts w:hint="eastAsia" w:ascii="仿宋" w:hAnsi="仿宋" w:eastAsia="仿宋"/>
          <w:sz w:val="32"/>
          <w:szCs w:val="32"/>
        </w:rPr>
        <w:t>表</w:t>
      </w:r>
    </w:p>
    <w:tbl>
      <w:tblPr>
        <w:tblStyle w:val="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701"/>
        <w:gridCol w:w="1700"/>
        <w:gridCol w:w="1701"/>
        <w:gridCol w:w="1701"/>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blHeader/>
          <w:jc w:val="center"/>
        </w:trPr>
        <w:tc>
          <w:tcPr>
            <w:tcW w:w="1103" w:type="dxa"/>
            <w:shd w:val="clear" w:color="auto" w:fill="FFFFFF"/>
            <w:vAlign w:val="center"/>
          </w:tcPr>
          <w:p>
            <w:pPr>
              <w:widowControl/>
              <w:spacing w:line="600" w:lineRule="exact"/>
              <w:jc w:val="center"/>
              <w:rPr>
                <w:rFonts w:ascii="仿宋" w:hAnsi="仿宋" w:eastAsia="仿宋"/>
                <w:szCs w:val="28"/>
              </w:rPr>
            </w:pPr>
            <w:r>
              <w:rPr>
                <w:rFonts w:ascii="仿宋" w:hAnsi="仿宋" w:eastAsia="仿宋"/>
                <w:szCs w:val="28"/>
              </w:rPr>
              <w:t>指标</w:t>
            </w:r>
          </w:p>
        </w:tc>
        <w:tc>
          <w:tcPr>
            <w:tcW w:w="1701" w:type="dxa"/>
            <w:shd w:val="clear" w:color="auto" w:fill="FFFFFF"/>
            <w:vAlign w:val="center"/>
          </w:tcPr>
          <w:p>
            <w:pPr>
              <w:widowControl/>
              <w:spacing w:line="600" w:lineRule="exact"/>
              <w:jc w:val="center"/>
              <w:rPr>
                <w:rFonts w:ascii="仿宋" w:hAnsi="仿宋" w:eastAsia="仿宋"/>
                <w:szCs w:val="28"/>
              </w:rPr>
            </w:pPr>
            <w:r>
              <w:rPr>
                <w:rFonts w:ascii="仿宋" w:hAnsi="仿宋" w:eastAsia="仿宋"/>
                <w:szCs w:val="28"/>
              </w:rPr>
              <w:t>A.</w:t>
            </w:r>
            <w:r>
              <w:rPr>
                <w:rFonts w:hint="eastAsia" w:ascii="仿宋" w:hAnsi="仿宋" w:eastAsia="仿宋"/>
                <w:szCs w:val="28"/>
              </w:rPr>
              <w:t>组织管理</w:t>
            </w:r>
          </w:p>
        </w:tc>
        <w:tc>
          <w:tcPr>
            <w:tcW w:w="1700" w:type="dxa"/>
            <w:shd w:val="clear" w:color="auto" w:fill="FFFFFF"/>
            <w:vAlign w:val="center"/>
          </w:tcPr>
          <w:p>
            <w:pPr>
              <w:widowControl/>
              <w:spacing w:line="600" w:lineRule="exact"/>
              <w:jc w:val="center"/>
              <w:rPr>
                <w:rFonts w:ascii="仿宋" w:hAnsi="仿宋" w:eastAsia="仿宋"/>
                <w:szCs w:val="28"/>
              </w:rPr>
            </w:pPr>
            <w:r>
              <w:rPr>
                <w:rFonts w:ascii="仿宋" w:hAnsi="仿宋" w:eastAsia="仿宋"/>
                <w:szCs w:val="28"/>
              </w:rPr>
              <w:t>B.</w:t>
            </w:r>
            <w:r>
              <w:rPr>
                <w:rFonts w:hint="eastAsia" w:ascii="仿宋" w:hAnsi="仿宋" w:eastAsia="仿宋"/>
                <w:szCs w:val="28"/>
              </w:rPr>
              <w:t xml:space="preserve">资金管理 </w:t>
            </w:r>
          </w:p>
        </w:tc>
        <w:tc>
          <w:tcPr>
            <w:tcW w:w="1701" w:type="dxa"/>
            <w:shd w:val="clear" w:color="auto" w:fill="FFFFFF"/>
            <w:vAlign w:val="center"/>
          </w:tcPr>
          <w:p>
            <w:pPr>
              <w:widowControl/>
              <w:spacing w:line="600" w:lineRule="exact"/>
              <w:jc w:val="center"/>
              <w:rPr>
                <w:rFonts w:ascii="仿宋" w:hAnsi="仿宋" w:eastAsia="仿宋"/>
                <w:szCs w:val="28"/>
              </w:rPr>
            </w:pPr>
            <w:r>
              <w:rPr>
                <w:rFonts w:ascii="仿宋" w:hAnsi="仿宋" w:eastAsia="仿宋"/>
                <w:szCs w:val="28"/>
              </w:rPr>
              <w:t>C.</w:t>
            </w:r>
            <w:r>
              <w:rPr>
                <w:rFonts w:hint="eastAsia" w:ascii="仿宋" w:hAnsi="仿宋" w:eastAsia="仿宋"/>
                <w:szCs w:val="28"/>
              </w:rPr>
              <w:t>项目执行</w:t>
            </w:r>
          </w:p>
        </w:tc>
        <w:tc>
          <w:tcPr>
            <w:tcW w:w="1701" w:type="dxa"/>
            <w:shd w:val="clear" w:color="auto" w:fill="FFFFFF"/>
            <w:vAlign w:val="center"/>
          </w:tcPr>
          <w:p>
            <w:pPr>
              <w:widowControl/>
              <w:spacing w:line="600" w:lineRule="exact"/>
              <w:jc w:val="center"/>
              <w:rPr>
                <w:rFonts w:ascii="仿宋" w:hAnsi="仿宋" w:eastAsia="仿宋"/>
                <w:szCs w:val="28"/>
              </w:rPr>
            </w:pPr>
            <w:r>
              <w:rPr>
                <w:rFonts w:hint="eastAsia" w:ascii="仿宋" w:hAnsi="仿宋" w:eastAsia="仿宋"/>
                <w:szCs w:val="28"/>
              </w:rPr>
              <w:t>D.项目效果</w:t>
            </w:r>
          </w:p>
        </w:tc>
        <w:tc>
          <w:tcPr>
            <w:tcW w:w="1154" w:type="dxa"/>
            <w:shd w:val="clear" w:color="auto" w:fill="FFFFFF"/>
            <w:vAlign w:val="center"/>
          </w:tcPr>
          <w:p>
            <w:pPr>
              <w:spacing w:line="600" w:lineRule="exact"/>
              <w:jc w:val="center"/>
              <w:rPr>
                <w:rFonts w:ascii="仿宋" w:hAnsi="仿宋" w:eastAsia="仿宋"/>
                <w:szCs w:val="28"/>
              </w:rPr>
            </w:pPr>
            <w:r>
              <w:rPr>
                <w:rFonts w:ascii="仿宋" w:hAnsi="仿宋" w:eastAsia="仿宋"/>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103" w:type="dxa"/>
            <w:vAlign w:val="center"/>
          </w:tcPr>
          <w:p>
            <w:pPr>
              <w:widowControl/>
              <w:spacing w:line="600" w:lineRule="exact"/>
              <w:jc w:val="center"/>
              <w:rPr>
                <w:rFonts w:ascii="仿宋" w:hAnsi="仿宋" w:eastAsia="仿宋"/>
                <w:szCs w:val="28"/>
              </w:rPr>
            </w:pPr>
            <w:r>
              <w:rPr>
                <w:rFonts w:ascii="仿宋" w:hAnsi="仿宋" w:eastAsia="仿宋"/>
                <w:szCs w:val="28"/>
              </w:rPr>
              <w:t>权重</w:t>
            </w:r>
          </w:p>
        </w:tc>
        <w:tc>
          <w:tcPr>
            <w:tcW w:w="1701" w:type="dxa"/>
            <w:vAlign w:val="center"/>
          </w:tcPr>
          <w:p>
            <w:pPr>
              <w:widowControl/>
              <w:spacing w:line="600" w:lineRule="exact"/>
              <w:jc w:val="center"/>
              <w:rPr>
                <w:rFonts w:ascii="仿宋" w:hAnsi="仿宋" w:eastAsia="仿宋"/>
                <w:szCs w:val="28"/>
              </w:rPr>
            </w:pPr>
            <w:r>
              <w:rPr>
                <w:rFonts w:hint="eastAsia" w:ascii="仿宋" w:hAnsi="仿宋" w:eastAsia="仿宋"/>
                <w:szCs w:val="28"/>
              </w:rPr>
              <w:t>18</w:t>
            </w:r>
            <w:r>
              <w:rPr>
                <w:rFonts w:ascii="仿宋" w:hAnsi="仿宋" w:eastAsia="仿宋"/>
                <w:szCs w:val="28"/>
              </w:rPr>
              <w:t>.00</w:t>
            </w:r>
          </w:p>
        </w:tc>
        <w:tc>
          <w:tcPr>
            <w:tcW w:w="1700" w:type="dxa"/>
            <w:shd w:val="clear" w:color="auto" w:fill="auto"/>
            <w:vAlign w:val="center"/>
          </w:tcPr>
          <w:p>
            <w:pPr>
              <w:widowControl/>
              <w:spacing w:line="600" w:lineRule="exact"/>
              <w:jc w:val="center"/>
              <w:rPr>
                <w:rFonts w:ascii="仿宋" w:hAnsi="仿宋" w:eastAsia="仿宋"/>
                <w:szCs w:val="28"/>
              </w:rPr>
            </w:pPr>
            <w:r>
              <w:rPr>
                <w:rFonts w:hint="eastAsia" w:ascii="仿宋" w:hAnsi="仿宋" w:eastAsia="仿宋"/>
                <w:szCs w:val="28"/>
              </w:rPr>
              <w:t>8.00</w:t>
            </w:r>
          </w:p>
        </w:tc>
        <w:tc>
          <w:tcPr>
            <w:tcW w:w="1701" w:type="dxa"/>
            <w:shd w:val="clear" w:color="auto" w:fill="auto"/>
            <w:vAlign w:val="center"/>
          </w:tcPr>
          <w:p>
            <w:pPr>
              <w:widowControl/>
              <w:spacing w:line="600" w:lineRule="exact"/>
              <w:jc w:val="center"/>
              <w:rPr>
                <w:rFonts w:ascii="仿宋" w:hAnsi="仿宋" w:eastAsia="仿宋"/>
                <w:szCs w:val="28"/>
              </w:rPr>
            </w:pPr>
            <w:r>
              <w:rPr>
                <w:rFonts w:hint="eastAsia" w:ascii="仿宋" w:hAnsi="仿宋" w:eastAsia="仿宋"/>
                <w:szCs w:val="28"/>
              </w:rPr>
              <w:t>60.00</w:t>
            </w:r>
          </w:p>
        </w:tc>
        <w:tc>
          <w:tcPr>
            <w:tcW w:w="1701" w:type="dxa"/>
            <w:shd w:val="clear" w:color="auto" w:fill="auto"/>
            <w:vAlign w:val="center"/>
          </w:tcPr>
          <w:p>
            <w:pPr>
              <w:widowControl/>
              <w:spacing w:line="600" w:lineRule="exact"/>
              <w:jc w:val="center"/>
              <w:rPr>
                <w:rFonts w:ascii="仿宋" w:hAnsi="仿宋" w:eastAsia="仿宋"/>
                <w:szCs w:val="28"/>
              </w:rPr>
            </w:pPr>
            <w:r>
              <w:rPr>
                <w:rFonts w:hint="eastAsia" w:ascii="仿宋" w:hAnsi="仿宋" w:eastAsia="仿宋"/>
                <w:szCs w:val="28"/>
              </w:rPr>
              <w:t>14.00</w:t>
            </w:r>
          </w:p>
        </w:tc>
        <w:tc>
          <w:tcPr>
            <w:tcW w:w="1154" w:type="dxa"/>
            <w:shd w:val="clear" w:color="auto" w:fill="auto"/>
            <w:vAlign w:val="center"/>
          </w:tcPr>
          <w:p>
            <w:pPr>
              <w:spacing w:line="600" w:lineRule="exact"/>
              <w:jc w:val="center"/>
              <w:rPr>
                <w:rFonts w:ascii="仿宋" w:hAnsi="仿宋" w:eastAsia="仿宋"/>
                <w:szCs w:val="28"/>
              </w:rPr>
            </w:pPr>
            <w:r>
              <w:rPr>
                <w:rFonts w:ascii="仿宋" w:hAnsi="仿宋" w:eastAsia="仿宋"/>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103" w:type="dxa"/>
            <w:vAlign w:val="center"/>
          </w:tcPr>
          <w:p>
            <w:pPr>
              <w:widowControl/>
              <w:spacing w:line="600" w:lineRule="exact"/>
              <w:jc w:val="center"/>
              <w:rPr>
                <w:rFonts w:ascii="仿宋" w:hAnsi="仿宋" w:eastAsia="仿宋"/>
                <w:szCs w:val="28"/>
              </w:rPr>
            </w:pPr>
            <w:r>
              <w:rPr>
                <w:rFonts w:ascii="仿宋" w:hAnsi="仿宋" w:eastAsia="仿宋"/>
                <w:szCs w:val="28"/>
              </w:rPr>
              <w:t>分值</w:t>
            </w:r>
          </w:p>
        </w:tc>
        <w:tc>
          <w:tcPr>
            <w:tcW w:w="1701" w:type="dxa"/>
            <w:vAlign w:val="center"/>
          </w:tcPr>
          <w:p>
            <w:pPr>
              <w:widowControl/>
              <w:spacing w:line="600" w:lineRule="exact"/>
              <w:jc w:val="center"/>
              <w:rPr>
                <w:rFonts w:ascii="仿宋" w:hAnsi="仿宋" w:eastAsia="仿宋"/>
                <w:szCs w:val="28"/>
              </w:rPr>
            </w:pPr>
            <w:r>
              <w:rPr>
                <w:rFonts w:hint="eastAsia" w:ascii="仿宋" w:hAnsi="仿宋" w:eastAsia="仿宋"/>
                <w:szCs w:val="28"/>
              </w:rPr>
              <w:t>17.50</w:t>
            </w:r>
          </w:p>
        </w:tc>
        <w:tc>
          <w:tcPr>
            <w:tcW w:w="1700" w:type="dxa"/>
            <w:shd w:val="clear" w:color="auto" w:fill="auto"/>
            <w:vAlign w:val="center"/>
          </w:tcPr>
          <w:p>
            <w:pPr>
              <w:widowControl/>
              <w:spacing w:line="600" w:lineRule="exact"/>
              <w:jc w:val="center"/>
              <w:rPr>
                <w:rFonts w:ascii="仿宋" w:hAnsi="仿宋" w:eastAsia="仿宋"/>
                <w:szCs w:val="28"/>
              </w:rPr>
            </w:pPr>
            <w:r>
              <w:rPr>
                <w:rFonts w:hint="eastAsia" w:ascii="仿宋" w:hAnsi="仿宋" w:eastAsia="仿宋"/>
                <w:szCs w:val="28"/>
              </w:rPr>
              <w:t>6.00</w:t>
            </w:r>
          </w:p>
        </w:tc>
        <w:tc>
          <w:tcPr>
            <w:tcW w:w="1701" w:type="dxa"/>
            <w:shd w:val="clear" w:color="auto" w:fill="auto"/>
            <w:vAlign w:val="center"/>
          </w:tcPr>
          <w:p>
            <w:pPr>
              <w:widowControl/>
              <w:spacing w:line="600" w:lineRule="exact"/>
              <w:jc w:val="center"/>
              <w:rPr>
                <w:rFonts w:ascii="仿宋" w:hAnsi="仿宋" w:eastAsia="仿宋"/>
                <w:szCs w:val="28"/>
              </w:rPr>
            </w:pPr>
            <w:r>
              <w:rPr>
                <w:rFonts w:hint="eastAsia" w:ascii="仿宋" w:hAnsi="仿宋" w:eastAsia="仿宋"/>
                <w:szCs w:val="28"/>
              </w:rPr>
              <w:t>59.40</w:t>
            </w:r>
          </w:p>
        </w:tc>
        <w:tc>
          <w:tcPr>
            <w:tcW w:w="1701" w:type="dxa"/>
            <w:shd w:val="clear" w:color="auto" w:fill="auto"/>
            <w:vAlign w:val="center"/>
          </w:tcPr>
          <w:p>
            <w:pPr>
              <w:widowControl/>
              <w:spacing w:line="600" w:lineRule="exact"/>
              <w:jc w:val="center"/>
              <w:rPr>
                <w:rFonts w:ascii="仿宋" w:hAnsi="仿宋" w:eastAsia="仿宋"/>
                <w:szCs w:val="28"/>
              </w:rPr>
            </w:pPr>
            <w:r>
              <w:rPr>
                <w:rFonts w:hint="eastAsia" w:ascii="仿宋" w:hAnsi="仿宋" w:eastAsia="仿宋"/>
                <w:szCs w:val="28"/>
              </w:rPr>
              <w:t>13.97</w:t>
            </w:r>
          </w:p>
        </w:tc>
        <w:tc>
          <w:tcPr>
            <w:tcW w:w="1154" w:type="dxa"/>
            <w:shd w:val="clear" w:color="auto" w:fill="auto"/>
            <w:vAlign w:val="center"/>
          </w:tcPr>
          <w:p>
            <w:pPr>
              <w:spacing w:line="600" w:lineRule="exact"/>
              <w:jc w:val="center"/>
              <w:rPr>
                <w:rFonts w:ascii="仿宋" w:hAnsi="仿宋" w:eastAsia="仿宋"/>
                <w:szCs w:val="28"/>
              </w:rPr>
            </w:pPr>
            <w:r>
              <w:rPr>
                <w:rFonts w:hint="eastAsia" w:ascii="仿宋" w:hAnsi="仿宋" w:eastAsia="仿宋"/>
                <w:szCs w:val="28"/>
              </w:rPr>
              <w:t>96.87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103" w:type="dxa"/>
            <w:vAlign w:val="center"/>
          </w:tcPr>
          <w:p>
            <w:pPr>
              <w:widowControl/>
              <w:spacing w:line="600" w:lineRule="exact"/>
              <w:jc w:val="center"/>
              <w:rPr>
                <w:rFonts w:ascii="仿宋" w:hAnsi="仿宋" w:eastAsia="仿宋"/>
                <w:szCs w:val="28"/>
              </w:rPr>
            </w:pPr>
            <w:r>
              <w:rPr>
                <w:rFonts w:ascii="仿宋" w:hAnsi="仿宋" w:eastAsia="仿宋"/>
                <w:szCs w:val="28"/>
              </w:rPr>
              <w:t>得分率</w:t>
            </w:r>
          </w:p>
        </w:tc>
        <w:tc>
          <w:tcPr>
            <w:tcW w:w="1701" w:type="dxa"/>
            <w:vAlign w:val="center"/>
          </w:tcPr>
          <w:p>
            <w:pPr>
              <w:widowControl/>
              <w:spacing w:line="600" w:lineRule="exact"/>
              <w:jc w:val="center"/>
              <w:rPr>
                <w:rFonts w:ascii="仿宋" w:hAnsi="仿宋" w:eastAsia="仿宋"/>
                <w:szCs w:val="28"/>
              </w:rPr>
            </w:pPr>
            <w:r>
              <w:rPr>
                <w:rFonts w:hint="eastAsia" w:ascii="仿宋" w:hAnsi="仿宋" w:eastAsia="仿宋"/>
                <w:szCs w:val="28"/>
              </w:rPr>
              <w:t>97.22</w:t>
            </w:r>
            <w:r>
              <w:rPr>
                <w:rFonts w:ascii="仿宋" w:hAnsi="仿宋" w:eastAsia="仿宋"/>
                <w:szCs w:val="28"/>
              </w:rPr>
              <w:t>%</w:t>
            </w:r>
          </w:p>
        </w:tc>
        <w:tc>
          <w:tcPr>
            <w:tcW w:w="1700" w:type="dxa"/>
            <w:shd w:val="clear" w:color="auto" w:fill="auto"/>
            <w:vAlign w:val="center"/>
          </w:tcPr>
          <w:p>
            <w:pPr>
              <w:widowControl/>
              <w:spacing w:line="600" w:lineRule="exact"/>
              <w:jc w:val="center"/>
              <w:rPr>
                <w:rFonts w:ascii="仿宋" w:hAnsi="仿宋" w:eastAsia="仿宋"/>
                <w:szCs w:val="28"/>
              </w:rPr>
            </w:pPr>
            <w:r>
              <w:rPr>
                <w:rFonts w:hint="eastAsia" w:ascii="仿宋" w:hAnsi="仿宋" w:eastAsia="仿宋"/>
                <w:szCs w:val="28"/>
              </w:rPr>
              <w:t>75.00</w:t>
            </w:r>
            <w:r>
              <w:rPr>
                <w:rFonts w:ascii="仿宋" w:hAnsi="仿宋" w:eastAsia="仿宋"/>
                <w:szCs w:val="28"/>
              </w:rPr>
              <w:t>%</w:t>
            </w:r>
          </w:p>
        </w:tc>
        <w:tc>
          <w:tcPr>
            <w:tcW w:w="1701" w:type="dxa"/>
            <w:shd w:val="clear" w:color="auto" w:fill="auto"/>
            <w:vAlign w:val="center"/>
          </w:tcPr>
          <w:p>
            <w:pPr>
              <w:widowControl/>
              <w:spacing w:line="600" w:lineRule="exact"/>
              <w:jc w:val="center"/>
              <w:rPr>
                <w:rFonts w:ascii="仿宋" w:hAnsi="仿宋" w:eastAsia="仿宋"/>
                <w:szCs w:val="28"/>
              </w:rPr>
            </w:pPr>
            <w:r>
              <w:rPr>
                <w:rFonts w:hint="eastAsia" w:ascii="仿宋" w:hAnsi="仿宋" w:eastAsia="仿宋"/>
                <w:szCs w:val="28"/>
              </w:rPr>
              <w:t>99.00</w:t>
            </w:r>
            <w:r>
              <w:rPr>
                <w:rFonts w:ascii="仿宋" w:hAnsi="仿宋" w:eastAsia="仿宋"/>
                <w:szCs w:val="28"/>
              </w:rPr>
              <w:t>%</w:t>
            </w:r>
          </w:p>
        </w:tc>
        <w:tc>
          <w:tcPr>
            <w:tcW w:w="1701" w:type="dxa"/>
            <w:shd w:val="clear" w:color="auto" w:fill="auto"/>
            <w:vAlign w:val="center"/>
          </w:tcPr>
          <w:p>
            <w:pPr>
              <w:widowControl/>
              <w:spacing w:line="600" w:lineRule="exact"/>
              <w:jc w:val="center"/>
              <w:rPr>
                <w:rFonts w:ascii="仿宋" w:hAnsi="仿宋" w:eastAsia="仿宋"/>
                <w:szCs w:val="28"/>
              </w:rPr>
            </w:pPr>
            <w:r>
              <w:rPr>
                <w:rFonts w:hint="eastAsia" w:ascii="仿宋" w:hAnsi="仿宋" w:eastAsia="仿宋"/>
                <w:szCs w:val="28"/>
              </w:rPr>
              <w:t>99.79</w:t>
            </w:r>
            <w:r>
              <w:rPr>
                <w:rFonts w:ascii="仿宋" w:hAnsi="仿宋" w:eastAsia="仿宋"/>
                <w:szCs w:val="28"/>
              </w:rPr>
              <w:t>%</w:t>
            </w:r>
          </w:p>
        </w:tc>
        <w:tc>
          <w:tcPr>
            <w:tcW w:w="1154" w:type="dxa"/>
            <w:shd w:val="clear" w:color="auto" w:fill="auto"/>
            <w:vAlign w:val="center"/>
          </w:tcPr>
          <w:p>
            <w:pPr>
              <w:spacing w:line="600" w:lineRule="exact"/>
              <w:jc w:val="center"/>
              <w:rPr>
                <w:rFonts w:ascii="仿宋" w:hAnsi="仿宋" w:eastAsia="仿宋"/>
                <w:szCs w:val="28"/>
              </w:rPr>
            </w:pPr>
            <w:r>
              <w:rPr>
                <w:rFonts w:hint="eastAsia" w:ascii="仿宋" w:hAnsi="仿宋" w:eastAsia="仿宋"/>
                <w:szCs w:val="28"/>
              </w:rPr>
              <w:t>96.87</w:t>
            </w:r>
            <w:r>
              <w:rPr>
                <w:rFonts w:ascii="仿宋" w:hAnsi="仿宋" w:eastAsia="仿宋"/>
                <w:szCs w:val="28"/>
              </w:rPr>
              <w:t>%</w:t>
            </w:r>
          </w:p>
        </w:tc>
      </w:tr>
    </w:tbl>
    <w:p>
      <w:pPr>
        <w:spacing w:line="600" w:lineRule="exact"/>
        <w:ind w:firstLine="480" w:firstLineChars="200"/>
        <w:rPr>
          <w:rFonts w:ascii="仿宋" w:hAnsi="仿宋" w:eastAsia="仿宋"/>
          <w:sz w:val="24"/>
          <w:szCs w:val="24"/>
        </w:rPr>
      </w:pPr>
      <w:r>
        <w:rPr>
          <w:rFonts w:hint="eastAsia" w:ascii="仿宋" w:hAnsi="仿宋" w:eastAsia="仿宋"/>
          <w:sz w:val="24"/>
          <w:szCs w:val="24"/>
        </w:rPr>
        <w:t>备注：具体</w:t>
      </w:r>
      <w:r>
        <w:rPr>
          <w:rFonts w:ascii="仿宋" w:hAnsi="仿宋" w:eastAsia="仿宋"/>
          <w:sz w:val="24"/>
          <w:szCs w:val="24"/>
        </w:rPr>
        <w:t>打分</w:t>
      </w:r>
      <w:r>
        <w:rPr>
          <w:rFonts w:hint="eastAsia" w:ascii="仿宋" w:hAnsi="仿宋" w:eastAsia="仿宋"/>
          <w:sz w:val="24"/>
          <w:szCs w:val="24"/>
        </w:rPr>
        <w:t>情况</w:t>
      </w:r>
      <w:r>
        <w:rPr>
          <w:rFonts w:ascii="仿宋" w:hAnsi="仿宋" w:eastAsia="仿宋"/>
          <w:sz w:val="24"/>
          <w:szCs w:val="24"/>
        </w:rPr>
        <w:t>见附件</w:t>
      </w:r>
      <w:r>
        <w:rPr>
          <w:rFonts w:hint="eastAsia" w:ascii="仿宋" w:hAnsi="仿宋" w:eastAsia="仿宋"/>
          <w:sz w:val="24"/>
          <w:szCs w:val="24"/>
        </w:rPr>
        <w:t>评价综合</w:t>
      </w:r>
      <w:r>
        <w:rPr>
          <w:rFonts w:ascii="仿宋" w:hAnsi="仿宋" w:eastAsia="仿宋"/>
          <w:sz w:val="24"/>
          <w:szCs w:val="24"/>
        </w:rPr>
        <w:t>表。</w:t>
      </w:r>
    </w:p>
    <w:p>
      <w:pPr>
        <w:pStyle w:val="20"/>
        <w:spacing w:before="0" w:after="0" w:line="600" w:lineRule="exact"/>
        <w:ind w:firstLine="640" w:firstLineChars="200"/>
        <w:rPr>
          <w:rFonts w:hint="eastAsia" w:ascii="黑体" w:hAnsi="黑体" w:eastAsia="黑体" w:cs="黑体"/>
          <w:b w:val="0"/>
          <w:bCs/>
          <w:color w:val="0D0D0D"/>
          <w:szCs w:val="32"/>
        </w:rPr>
      </w:pPr>
      <w:r>
        <w:rPr>
          <w:rFonts w:hint="eastAsia" w:ascii="黑体" w:hAnsi="黑体" w:eastAsia="黑体" w:cs="黑体"/>
          <w:b w:val="0"/>
          <w:bCs/>
          <w:color w:val="0D0D0D"/>
          <w:szCs w:val="32"/>
        </w:rPr>
        <w:t>三、主要成效</w:t>
      </w:r>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（一）项目实施情况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建全网络体系，提高服务质量。一是以强化管理为抓手，完善组织体系。各单位根据人员变动情况，每年调整基本公共卫生服务项目领导组织，并以文件形式上报县公卫办。各单位成立了基本公共卫生服务项目组织网络体系，县成立基本公共卫生服务项目技术指导组，14大类基本公共卫生服务项目，按项目责任到人，每个项目有明确的单位责任人、分管领导、责任科室到责任人。二是以开展团队服务为重点，做实项目服务。针对村卫生室人员不足以及业务基础较差的实际困难，各单位成立以各科组业务骨干为成员的基本公共卫生服务团队，设立工作组，实行按组定村、定责，按绩考核、补助，责任到人，定期入村体检、随访，规范开展服务。三是以加强能力建设为根本，提升服务质量。提倡购买居民健康体检随访一体包，利用现代化、功能完善的仪器设备为群众提供服务，提高服务项目的完整性和准确性。健康档案资料全部集中分类存放，随访体检信息资料及时进行上网传输或录入，提高健康档案的真实性。四是以实施分级管理为手段，分类业务指导。五是以规范经费补助为支撑，定期考核发放。对基本公共卫生服务项目经费实行考核发放。</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落实整改工作，提升社会效果。针对省市基本公共卫生服务项目考核督导中出现的各种问题，县基本公共卫生服务办公室及县公共卫生专业机构加强督导，强化整改。各单位安排专人梳理存在问题，落实整改措施。为切实做好项目的整改工作，县卫生计生委专门召开整改工作会议。坚持做到高标准、严要求，把整改工作作为基本公共卫生服务工作的重中之重。一是强化管理体系，坚持协作配合。基本公共卫生服务项目是一项系统工程，涉及面广，政策性强，服务提供主体是基层医疗卫生机构，县成立基本公共卫生服务项目技术指导网络。各乡镇卫生院建立健全项目管理体系，明确任务分工。实行以全科医生为核心，包括预防保健、护理人员在内的团队服务模式，提供防治结合的健康管理服务。二是开展专题活动，增强服务能力。根据市卫生计生委要求，继续深入开展基本公共卫生服务提升年活动，增强项目服务能力，优化项目服务流程，促进服务模式转变；进一步増强城乡居民对基本公共卫生服务项目实施的感受度和获得感，使基本公共卫生服务项目社会知晓率和群众满意度全面提升。三是构建“三位一体”，采取综合防治。建立基本公共卫生服务分工负责和分级管理机制，积极构建以城乡基层医疗卫生服务机构为基础、专业公共卫生机构及综合医院协同服务的“三位一体”综合防控体系，疾病预防、妇幼保健、精神卫生等专业机构负责</w:t>
      </w:r>
      <w:r>
        <w:rPr>
          <w:rFonts w:hint="eastAsia" w:ascii="仿宋" w:hAnsi="仿宋" w:eastAsia="仿宋"/>
          <w:color w:val="000000" w:themeColor="text1"/>
          <w:sz w:val="32"/>
          <w:szCs w:val="32"/>
        </w:rPr>
        <w:t>各自条线基本公共卫生服务的技术培训、指导、质量控制和业务督</w:t>
      </w:r>
      <w:r>
        <w:rPr>
          <w:rFonts w:hint="eastAsia" w:ascii="仿宋" w:hAnsi="仿宋" w:eastAsia="仿宋"/>
          <w:sz w:val="32"/>
          <w:szCs w:val="32"/>
        </w:rPr>
        <w:t>导工作。四是规范合账资料，确保记录真实。对照国家基本公共卫生服务项目绩效考核指标体系，组织管理、资金管理、项目执行、项目效果等每个考核指标都要有相对应的支持性材料。并且，这些材料按顺序分类整理，归卷存放，每卷都标明档案卷宗的内容和资料名称。对于上级考核过程中需要提供的基础数据，各单位逐级核实数据真实性，对各专业条线上报数据统一扎口管理，确保上下一致、真实可靠。五是加强宣传发动，提升社会效果。全面开展国家基本公共卫生服务项目宣传月活动，通过传单折页、横幅、标语、字幕、广播、专栏、微信、短信等多种形式广泛宣传基本公共卫生服务项目政策、目的和内容，宣传当地项目工作的动态、做法和先进典型，提高群众的知晓率和参与度，增强社会的认同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细化各项措施强化督查指导。一是细化工作计划各项目执行单位根据服务对象基数，结合国家《规范》要求，对照检查标准针对存在问题迅速整改完善。二是严格执行规范。为迅速落实《国家基本公共卫生服务规范》（第三版）内容精神，县卫生计生委分批次对项目管理、资金管理、防疫、妇儿保、慢病管理、重性精神病、中医药保健等业务内容进行培训。各县直业务指导单位承担各乡镇从事基本公共卫生服务人员的技术培训任务。三是加强督查指导。为了解全县基本公共卫生服务项目整改、65岁及以上老人免费体检情况，县卫生计生委组织人员对全县项目整改、65岁及以上老人免费体检情况等工作进行督査。督查采取分工负责，分项进行，对督导中发现的问题以书面形式要求整改，在规定时间内落实整改情况。加大考核奖惩力度，县乡两级考核结果作为经费结算和奖惩的依据。严格实行谁考核、谁负责、谁出问题追究谁的原则，严禁弄虚作假及以权谋私现象的发生</w:t>
      </w:r>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（二）项目指标落实情况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建立居民健康档案：通过乡镇卫生院和村卫生室工作人员入户调査、随访，65岁及以上老年人每年一次的健康体检，慢性病人、严重精神障碍患者、孕产妇、0－6岁儿童等其它重点人群的健康管理等多种形式，建立居民健康档案。2017年，全县建立居民电子健康档案615220份，建档率为76.42％。</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健康教育：围绕“全民健康生活方式行动”、“国家基本公共卫生服务项目宣传月”等活动全面推进健康教育工作。与县电视合、县新闻中心联合开办了“公共卫生服务之窗”和“卫生与健康”专题栏目，宣传内容每周更新一次。各级医疗卫生单位按照基本公共卫生服务规范，制定了健康教育实施计划，按项目要求组织实施。健康教育宣传栏的更新、开展健康咨询、举办健康知识讲座全部达到规定频次。2017年，全县设置健康教育宣传栏362个，更新宣传栏内容4344期，发放健康教育印刷资料924种，共计113万余份，开展公众健康教育咨询活动193场次，参加人数为6.7万余人，播放健康教育音像资料252种，计8.25万次，举办各类健康健康教育知识讲座2172场次，参加人员达13万余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3．预防接种：2017年，辖区内应建立预防接种证为70504人，儿童预防接种证建证率100％；乙肝疫苗接种人数为8481人，接种率为99.67％；一类疫苗卡介苗接种率均达99.92％。</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4．儿童健康管理：2017年，全县活产婴儿9239名，新生儿访视率达98.79％；辖区内共有0－6岁儿童75072名，儿童健康管理率为90.27％。</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5．孕产妇健康管理：全县孕产妇早孕建册9114人，早孕建册率达98.48％，产后访视率为98.65％。</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6．老年人健康管理：开展老年保健服务，每年一次为65岁及以上老年人做健康检査。2017年，对65岁及以上老人进行健康管理84216人，老年人健康管理率达82.44％。</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7．慢性病患者健康管理：加强高血压、糖尿病等慢性非传染性疾病防治管理工作。（1）高血压。辖区内高血压患者总人数为71800人，按照规范要求进行高血压患者健康管理的人数为47045人，最近一次随访血压达标人数为40696人，在管高血压患者控制率为56.68％。（2）2型糖尿病。辖区内2型糖尿病患者总人数为22500人，已管理的2型糖尿病人数为22500人，按规范要求进行管理的2型糖尿病人数为14538人，最近一次随访空腹血糖达标人数为11589人，管理人群血糖控制率51.51％</w:t>
      </w:r>
      <w:r>
        <w:rPr>
          <w:rFonts w:hint="eastAsia" w:ascii="仿宋" w:hAnsi="仿宋" w:eastAsia="仿宋"/>
          <w:sz w:val="32"/>
          <w:szCs w:val="32"/>
          <w:lang w:eastAsia="zh-CN"/>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8．严重精神障碍患者管理：积极开展严重精神障碍患者的登记管理、随访和康复指导工作。2017年，累计确诊严重精神障碍患者3202人，规范管理严重精神障碍患者3129人，规范管理率为97.72％。</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9．肺结核患者健康管理：2017年，已管理的肺结核患者数为281人，管理率100％，肺结核患者规则服药率为98.69％。</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10．中医药健康管理：发挥中医药在基本公共卫生服务项目中的作用，接受中医药健康管理的老年人数为64566人，老年人中医药健康管理率为63.20％；0－36个月儿童中医药健康管理数为17714人，儿童中医药管理率为59.20％。</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11．传染病和突发公共卫生事件报告和处理：2017年，全县共发生传染病202例，其中，甲类传染病无病例报告，报告工作不断完善，疫点处置率、卡片报告及时率和审核及时率均达100％。各单位建立健全突发公共卫生事件报告管理制度，有专人负责突发公共卫生事件报告工作，今年未发生突发公共卫生相关事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12．卫生计生监督协管：乡镇卫生院按照服务规范要求，落实了专、兼职人员，明确工作责任，及时做好相关业务咨询、巡査、信息收集和报告等工作。2017年，乡镇卫生院发现的卫生计生监督协管事件或线索357起，信息及时报告率100％，协助县相关机构开展饮用水卫生安全、学校卫生、非法行医和非法采供血实地巡查518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13．免费提供避孕药具：县卫生计生委及时将此项工作纳入基本公共卫生服务项目内容，成立县妇幼保健计划生育服务中心，各乡镇计划生育指导站负责避孕药具的免费发放。</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14．健康素养促进行动：制定灌云县健康素养促进行动规划，大力开展健康促进县建设工作，各单位开展“亿万农民健康教育促进行动”、“公民健康素养促进行动”等健康科普活动，全面推进健康促进医院和戒烟门诊建设，针对重点疾病、重点领域和重点人群开展个性化的健康教育活动。</w:t>
      </w:r>
    </w:p>
    <w:p>
      <w:pPr>
        <w:pStyle w:val="20"/>
        <w:spacing w:before="0" w:after="0" w:line="600" w:lineRule="exact"/>
        <w:ind w:firstLine="640" w:firstLineChars="200"/>
        <w:rPr>
          <w:rFonts w:hint="eastAsia" w:ascii="黑体" w:hAnsi="黑体" w:eastAsia="黑体" w:cs="黑体"/>
          <w:b w:val="0"/>
          <w:bCs/>
          <w:color w:val="0D0D0D"/>
          <w:szCs w:val="32"/>
        </w:rPr>
      </w:pPr>
      <w:r>
        <w:rPr>
          <w:rFonts w:hint="eastAsia" w:ascii="黑体" w:hAnsi="黑体" w:eastAsia="黑体" w:cs="黑体"/>
          <w:b w:val="0"/>
          <w:bCs/>
          <w:color w:val="0D0D0D"/>
          <w:szCs w:val="32"/>
        </w:rPr>
        <w:t>四、存在问题</w:t>
      </w:r>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（一）项目实施方案不完善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2017年3月14日，灌云县卫生和计划生育委员会下发《</w:t>
      </w:r>
      <w:r>
        <w:rPr>
          <w:rFonts w:ascii="仿宋" w:hAnsi="仿宋" w:eastAsia="仿宋"/>
          <w:sz w:val="32"/>
          <w:szCs w:val="32"/>
        </w:rPr>
        <w:t>关于印发&lt;灌云县</w:t>
      </w:r>
      <w:r>
        <w:rPr>
          <w:rFonts w:hint="eastAsia" w:ascii="仿宋" w:hAnsi="仿宋" w:eastAsia="仿宋"/>
          <w:sz w:val="32"/>
          <w:szCs w:val="32"/>
        </w:rPr>
        <w:t>2017年基本公共卫生服务项目实施方案</w:t>
      </w:r>
      <w:r>
        <w:rPr>
          <w:rFonts w:ascii="仿宋" w:hAnsi="仿宋" w:eastAsia="仿宋"/>
          <w:sz w:val="32"/>
          <w:szCs w:val="32"/>
        </w:rPr>
        <w:t>&gt;的通知</w:t>
      </w:r>
      <w:r>
        <w:rPr>
          <w:rFonts w:hint="eastAsia" w:ascii="仿宋" w:hAnsi="仿宋" w:eastAsia="仿宋"/>
          <w:sz w:val="32"/>
          <w:szCs w:val="32"/>
        </w:rPr>
        <w:t>》（</w:t>
      </w:r>
      <w:r>
        <w:rPr>
          <w:rFonts w:ascii="仿宋" w:hAnsi="仿宋" w:eastAsia="仿宋"/>
          <w:sz w:val="32"/>
          <w:szCs w:val="32"/>
        </w:rPr>
        <w:t>灌</w:t>
      </w:r>
      <w:r>
        <w:rPr>
          <w:rFonts w:hint="eastAsia" w:ascii="仿宋" w:hAnsi="仿宋" w:eastAsia="仿宋"/>
          <w:sz w:val="32"/>
          <w:szCs w:val="32"/>
        </w:rPr>
        <w:t>卫</w:t>
      </w:r>
      <w:r>
        <w:rPr>
          <w:rFonts w:ascii="仿宋" w:hAnsi="仿宋" w:eastAsia="仿宋"/>
          <w:sz w:val="32"/>
          <w:szCs w:val="32"/>
        </w:rPr>
        <w:t>〔201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23</w:t>
      </w:r>
      <w:r>
        <w:rPr>
          <w:rFonts w:ascii="仿宋" w:hAnsi="仿宋" w:eastAsia="仿宋"/>
          <w:sz w:val="32"/>
          <w:szCs w:val="32"/>
        </w:rPr>
        <w:t>号</w:t>
      </w:r>
      <w:r>
        <w:rPr>
          <w:rFonts w:hint="eastAsia" w:ascii="仿宋" w:hAnsi="仿宋" w:eastAsia="仿宋"/>
          <w:sz w:val="32"/>
          <w:szCs w:val="32"/>
        </w:rPr>
        <w:t>），项目内容分为12项。而2017年10月24日连云港市卫生和计划生育委员会、连云港市财政局下发的《</w:t>
      </w:r>
      <w:r>
        <w:rPr>
          <w:rFonts w:ascii="仿宋" w:hAnsi="仿宋" w:eastAsia="仿宋"/>
          <w:sz w:val="32"/>
          <w:szCs w:val="32"/>
        </w:rPr>
        <w:t>关于印发&lt;</w:t>
      </w:r>
      <w:r>
        <w:rPr>
          <w:rFonts w:hint="eastAsia" w:ascii="仿宋" w:hAnsi="仿宋" w:eastAsia="仿宋"/>
          <w:snapToGrid w:val="0"/>
          <w:kern w:val="0"/>
          <w:sz w:val="32"/>
          <w:szCs w:val="32"/>
        </w:rPr>
        <w:t>连云港市2017年度基本公共卫生服务项目实施方案</w:t>
      </w:r>
      <w:r>
        <w:rPr>
          <w:rFonts w:ascii="仿宋" w:hAnsi="仿宋" w:eastAsia="仿宋"/>
          <w:snapToGrid w:val="0"/>
          <w:kern w:val="0"/>
          <w:sz w:val="32"/>
          <w:szCs w:val="32"/>
        </w:rPr>
        <w:t>&gt;的通知</w:t>
      </w:r>
      <w:r>
        <w:rPr>
          <w:rFonts w:hint="eastAsia" w:ascii="仿宋" w:hAnsi="仿宋" w:eastAsia="仿宋"/>
          <w:snapToGrid w:val="0"/>
          <w:kern w:val="0"/>
          <w:sz w:val="32"/>
          <w:szCs w:val="32"/>
        </w:rPr>
        <w:t>》（连卫基层</w:t>
      </w:r>
      <w:r>
        <w:rPr>
          <w:rFonts w:ascii="仿宋" w:hAnsi="仿宋" w:eastAsia="仿宋"/>
          <w:snapToGrid w:val="0"/>
          <w:kern w:val="0"/>
          <w:sz w:val="32"/>
          <w:szCs w:val="32"/>
        </w:rPr>
        <w:t>〔201</w:t>
      </w:r>
      <w:r>
        <w:rPr>
          <w:rFonts w:hint="eastAsia" w:ascii="仿宋" w:hAnsi="仿宋" w:eastAsia="仿宋"/>
          <w:snapToGrid w:val="0"/>
          <w:kern w:val="0"/>
          <w:sz w:val="32"/>
          <w:szCs w:val="32"/>
        </w:rPr>
        <w:t>7</w:t>
      </w:r>
      <w:r>
        <w:rPr>
          <w:rFonts w:ascii="仿宋" w:hAnsi="仿宋" w:eastAsia="仿宋"/>
          <w:snapToGrid w:val="0"/>
          <w:kern w:val="0"/>
          <w:sz w:val="32"/>
          <w:szCs w:val="32"/>
        </w:rPr>
        <w:t>〕</w:t>
      </w:r>
      <w:r>
        <w:rPr>
          <w:rFonts w:hint="eastAsia" w:ascii="仿宋" w:hAnsi="仿宋" w:eastAsia="仿宋"/>
          <w:snapToGrid w:val="0"/>
          <w:kern w:val="0"/>
          <w:sz w:val="32"/>
          <w:szCs w:val="32"/>
        </w:rPr>
        <w:t>18</w:t>
      </w:r>
      <w:r>
        <w:rPr>
          <w:rFonts w:ascii="仿宋" w:hAnsi="仿宋" w:eastAsia="仿宋"/>
          <w:snapToGrid w:val="0"/>
          <w:kern w:val="0"/>
          <w:sz w:val="32"/>
          <w:szCs w:val="32"/>
        </w:rPr>
        <w:t>号</w:t>
      </w:r>
      <w:r>
        <w:rPr>
          <w:rFonts w:hint="eastAsia" w:ascii="仿宋" w:hAnsi="仿宋" w:eastAsia="仿宋"/>
          <w:snapToGrid w:val="0"/>
          <w:kern w:val="0"/>
          <w:sz w:val="32"/>
          <w:szCs w:val="32"/>
        </w:rPr>
        <w:t>），主要任务目标为14项。灌云县卫生和计划生育委员会没有及时更新完善为14大类（少免费提供避孕药具和健康素养促进行动两个项目）</w:t>
      </w:r>
      <w:r>
        <w:rPr>
          <w:rFonts w:hint="eastAsia" w:ascii="仿宋" w:hAnsi="仿宋" w:eastAsia="仿宋"/>
          <w:sz w:val="32"/>
          <w:szCs w:val="32"/>
        </w:rPr>
        <w:t>。</w:t>
      </w:r>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（二）工作经费补助未安排</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2017年县级财政未安排基本公共卫生服务项目工作经费。</w:t>
      </w:r>
    </w:p>
    <w:p>
      <w:pPr>
        <w:spacing w:line="600" w:lineRule="exact"/>
        <w:ind w:firstLine="640" w:firstLineChars="200"/>
        <w:rPr>
          <w:rFonts w:ascii="仿宋" w:hAnsi="仿宋" w:eastAsia="仿宋"/>
          <w:b/>
          <w:sz w:val="32"/>
          <w:szCs w:val="32"/>
        </w:rPr>
      </w:pPr>
      <w:r>
        <w:rPr>
          <w:rFonts w:hint="eastAsia" w:ascii="楷体" w:hAnsi="楷体" w:eastAsia="楷体" w:cs="楷体"/>
          <w:b w:val="0"/>
          <w:bCs/>
          <w:sz w:val="32"/>
          <w:szCs w:val="32"/>
        </w:rPr>
        <w:t>（三）疫苗冷链管理不规范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疫苗冷链管理不规范，存在测温记录异常现象。</w:t>
      </w:r>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（四）老年人健康管理不到位</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没有体检或没有辅助检查，体检表缺项较多、健康评价不规范或错误。</w:t>
      </w:r>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（五）居民综合满意度偏低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2017年灌云县基本公共卫生服务项目居民综合满意度为89.11%，未达到90%。</w:t>
      </w:r>
    </w:p>
    <w:p>
      <w:pPr>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（六）其他</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是卫生院防保人员严重缺乏。部分乡镇卫生院除了伊山镇卫生院以外，其余大部分卫生院都缺人，且多数卫生院都借用乡村医生，以便维持工作的正常运转。基本公共卫生服务资料员大部分为防保所所长兼任，无专职人员负责。二是业务素质不高。乡村防保人员都存在年龄结构老化，业务知识不高，特别是乡村医生年龄偏大，使用电脑困难。三是工作开展不平衡。领导非常重视基本公共卫生服务工作的乡镇卫生院，能定期组织医务人员下乡体检，组织专人整理资料，工作做得较好。领导思想不重视的乡镇卫生院，认识模糊，客观原因多，存在问题较多，工作进展缓慢。</w:t>
      </w:r>
    </w:p>
    <w:p>
      <w:pPr>
        <w:pStyle w:val="20"/>
        <w:spacing w:before="0" w:after="0" w:line="600" w:lineRule="exact"/>
        <w:ind w:firstLine="640" w:firstLineChars="200"/>
        <w:rPr>
          <w:rFonts w:hint="eastAsia" w:ascii="黑体" w:hAnsi="黑体" w:eastAsia="黑体" w:cs="黑体"/>
          <w:b w:val="0"/>
          <w:bCs/>
          <w:kern w:val="2"/>
          <w:szCs w:val="32"/>
        </w:rPr>
      </w:pPr>
      <w:r>
        <w:rPr>
          <w:rFonts w:hint="eastAsia" w:ascii="黑体" w:hAnsi="黑体" w:eastAsia="黑体" w:cs="黑体"/>
          <w:b w:val="0"/>
          <w:bCs/>
          <w:kern w:val="2"/>
          <w:szCs w:val="32"/>
        </w:rPr>
        <w:t>五、建议</w:t>
      </w:r>
    </w:p>
    <w:p>
      <w:pPr>
        <w:widowControl/>
        <w:shd w:val="clear" w:color="auto" w:fill="FFFFFF"/>
        <w:spacing w:line="600" w:lineRule="exact"/>
        <w:ind w:firstLine="600"/>
        <w:jc w:val="left"/>
        <w:rPr>
          <w:rFonts w:ascii="仿宋" w:hAnsi="仿宋" w:eastAsia="仿宋"/>
          <w:sz w:val="32"/>
          <w:szCs w:val="32"/>
        </w:rPr>
      </w:pPr>
      <w:r>
        <w:rPr>
          <w:rFonts w:hint="eastAsia" w:ascii="仿宋" w:hAnsi="仿宋" w:eastAsia="仿宋"/>
          <w:sz w:val="32"/>
          <w:szCs w:val="32"/>
        </w:rPr>
        <w:t>（一）</w:t>
      </w:r>
      <w:r>
        <w:rPr>
          <w:rFonts w:hint="eastAsia" w:ascii="仿宋" w:hAnsi="仿宋" w:eastAsia="仿宋"/>
          <w:snapToGrid w:val="0"/>
          <w:kern w:val="0"/>
          <w:sz w:val="32"/>
          <w:szCs w:val="32"/>
        </w:rPr>
        <w:t>灌云县卫生和计划生育委员会应按照《国家基本公卫生服务规范（第三版）》要求，</w:t>
      </w:r>
      <w:r>
        <w:rPr>
          <w:rFonts w:hint="eastAsia" w:ascii="仿宋" w:hAnsi="仿宋" w:eastAsia="仿宋"/>
          <w:sz w:val="32"/>
          <w:szCs w:val="32"/>
        </w:rPr>
        <w:t>及时更新项目实施方案。</w:t>
      </w:r>
    </w:p>
    <w:p>
      <w:pPr>
        <w:widowControl/>
        <w:shd w:val="clear" w:color="auto" w:fill="FFFFFF"/>
        <w:spacing w:line="600" w:lineRule="exact"/>
        <w:ind w:firstLine="600"/>
        <w:jc w:val="left"/>
        <w:rPr>
          <w:rFonts w:ascii="仿宋" w:hAnsi="仿宋" w:eastAsia="仿宋"/>
          <w:sz w:val="32"/>
          <w:szCs w:val="32"/>
        </w:rPr>
      </w:pPr>
      <w:r>
        <w:rPr>
          <w:rFonts w:hint="eastAsia" w:ascii="仿宋" w:hAnsi="仿宋" w:eastAsia="仿宋"/>
          <w:sz w:val="32"/>
          <w:szCs w:val="32"/>
        </w:rPr>
        <w:t>（二）县级财政应及时安排的项目工作经费，保证项目的正常开展。</w:t>
      </w:r>
    </w:p>
    <w:p>
      <w:pPr>
        <w:widowControl/>
        <w:shd w:val="clear" w:color="auto" w:fill="FFFFFF"/>
        <w:spacing w:line="600" w:lineRule="exact"/>
        <w:ind w:firstLine="600"/>
        <w:jc w:val="left"/>
        <w:rPr>
          <w:rFonts w:ascii="仿宋" w:hAnsi="仿宋" w:eastAsia="仿宋"/>
          <w:sz w:val="32"/>
          <w:szCs w:val="32"/>
        </w:rPr>
      </w:pPr>
      <w:r>
        <w:rPr>
          <w:rFonts w:hint="eastAsia" w:ascii="仿宋" w:hAnsi="仿宋" w:eastAsia="仿宋"/>
          <w:sz w:val="32"/>
          <w:szCs w:val="32"/>
        </w:rPr>
        <w:t>（三）组织人员认真学习</w:t>
      </w:r>
      <w:r>
        <w:rPr>
          <w:rFonts w:hint="eastAsia" w:ascii="仿宋" w:hAnsi="仿宋" w:eastAsia="仿宋"/>
          <w:snapToGrid w:val="0"/>
          <w:kern w:val="0"/>
          <w:sz w:val="32"/>
          <w:szCs w:val="32"/>
        </w:rPr>
        <w:t>《国家基本公卫生服务规范（第三版）》</w:t>
      </w:r>
      <w:r>
        <w:rPr>
          <w:rFonts w:hint="eastAsia" w:ascii="仿宋" w:hAnsi="仿宋" w:eastAsia="仿宋"/>
          <w:sz w:val="32"/>
          <w:szCs w:val="32"/>
        </w:rPr>
        <w:t>，对照标准，加强项目工作台账管理，把数据真实、准确作为数据填报基本准则。</w:t>
      </w:r>
    </w:p>
    <w:p>
      <w:pPr>
        <w:widowControl/>
        <w:shd w:val="clear" w:color="auto" w:fill="FFFFFF"/>
        <w:spacing w:line="600" w:lineRule="exact"/>
        <w:ind w:firstLine="600"/>
        <w:jc w:val="left"/>
        <w:rPr>
          <w:rFonts w:ascii="仿宋" w:hAnsi="仿宋" w:eastAsia="仿宋"/>
          <w:sz w:val="32"/>
          <w:szCs w:val="32"/>
        </w:rPr>
      </w:pPr>
      <w:r>
        <w:rPr>
          <w:rFonts w:hint="eastAsia" w:ascii="仿宋" w:hAnsi="仿宋" w:eastAsia="仿宋"/>
          <w:sz w:val="32"/>
          <w:szCs w:val="32"/>
        </w:rPr>
        <w:t>（四）加大宣传力度，采取宣传栏、标语、讲座、咨询等方式，让广大城乡居民更全面了解基本公共卫生服务政策的内涵，提高群众知晓率和居民综合满意度，鼓励群众积极参与，配合基本公共卫生服务工作的开展。</w:t>
      </w:r>
    </w:p>
    <w:p>
      <w:pPr>
        <w:widowControl/>
        <w:shd w:val="clear" w:color="auto" w:fill="FFFFFF"/>
        <w:spacing w:line="600" w:lineRule="exact"/>
        <w:ind w:firstLine="600"/>
        <w:jc w:val="left"/>
        <w:rPr>
          <w:rFonts w:ascii="仿宋" w:hAnsi="仿宋" w:eastAsia="仿宋"/>
          <w:sz w:val="32"/>
          <w:szCs w:val="32"/>
        </w:rPr>
      </w:pPr>
      <w:r>
        <w:rPr>
          <w:rFonts w:hint="eastAsia" w:ascii="仿宋" w:hAnsi="仿宋" w:eastAsia="仿宋"/>
          <w:sz w:val="32"/>
          <w:szCs w:val="32"/>
        </w:rPr>
        <w:t>（五）增加公卫人员数量，提高公卫人员和乡村医生的待遇和服务能力。一是政府可适当增加公卫人员编制，减少公卫人员流动性，二是政府应增加经费投入，提高公卫人员和乡村医生的待遇，调动其工作积极性；三是要加强培训，提高基层单位医生业务素质，提高服务能力；四是要完善乡村医生体制，政府政策制定时考虑适当向乡村医生倾斜，让乡村医生有更多的机会转为公医，吸引年轻人加入乡村医生的队伍。</w:t>
      </w:r>
    </w:p>
    <w:p>
      <w:pPr>
        <w:widowControl/>
        <w:shd w:val="clear" w:color="auto" w:fill="FFFFFF"/>
        <w:spacing w:line="600" w:lineRule="exact"/>
        <w:ind w:firstLine="560"/>
        <w:jc w:val="left"/>
        <w:rPr>
          <w:rFonts w:ascii="仿宋" w:hAnsi="仿宋" w:eastAsia="仿宋"/>
          <w:b/>
          <w:sz w:val="32"/>
          <w:szCs w:val="32"/>
        </w:rPr>
      </w:pPr>
      <w:r>
        <w:rPr>
          <w:rFonts w:hint="eastAsia" w:ascii="仿宋" w:hAnsi="仿宋" w:eastAsia="仿宋"/>
          <w:sz w:val="32"/>
          <w:szCs w:val="32"/>
        </w:rPr>
        <w:t>（六）加大对基层公共卫生服务机构所需的设备购置和基础设施建设力度，改善基层卫生机构环境，满足群众对基本公共卫生服务需求。</w:t>
      </w:r>
      <w:bookmarkStart w:id="18" w:name="_GoBack"/>
      <w:bookmarkEnd w:id="18"/>
    </w:p>
    <w:sectPr>
      <w:footerReference r:id="rId3" w:type="default"/>
      <w:footerReference r:id="rId4" w:type="even"/>
      <w:pgSz w:w="11906" w:h="16838"/>
      <w:pgMar w:top="1701" w:right="158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mbria">
    <w:panose1 w:val="02040503050406030204"/>
    <w:charset w:val="00"/>
    <w:family w:val="auto"/>
    <w:pitch w:val="default"/>
    <w:sig w:usb0="E00002FF" w:usb1="400004FF" w:usb2="00000000" w:usb3="00000000" w:csb0="2000019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7C3F"/>
    <w:rsid w:val="000002E8"/>
    <w:rsid w:val="0001062A"/>
    <w:rsid w:val="00013B57"/>
    <w:rsid w:val="00015B70"/>
    <w:rsid w:val="00017FFA"/>
    <w:rsid w:val="000276CF"/>
    <w:rsid w:val="000326C0"/>
    <w:rsid w:val="00033FB3"/>
    <w:rsid w:val="00036D5C"/>
    <w:rsid w:val="00042EBE"/>
    <w:rsid w:val="00047842"/>
    <w:rsid w:val="000533D2"/>
    <w:rsid w:val="000638B7"/>
    <w:rsid w:val="000673C6"/>
    <w:rsid w:val="00067ED7"/>
    <w:rsid w:val="000851D6"/>
    <w:rsid w:val="0009253F"/>
    <w:rsid w:val="00092F33"/>
    <w:rsid w:val="00094718"/>
    <w:rsid w:val="00097210"/>
    <w:rsid w:val="000A6FF1"/>
    <w:rsid w:val="000B04A9"/>
    <w:rsid w:val="000B0C07"/>
    <w:rsid w:val="000C0D1F"/>
    <w:rsid w:val="000C6142"/>
    <w:rsid w:val="000D0CE1"/>
    <w:rsid w:val="000D1C01"/>
    <w:rsid w:val="000D256F"/>
    <w:rsid w:val="000D5532"/>
    <w:rsid w:val="000E0329"/>
    <w:rsid w:val="000E3D16"/>
    <w:rsid w:val="000E4D50"/>
    <w:rsid w:val="000F0937"/>
    <w:rsid w:val="001027E8"/>
    <w:rsid w:val="00103D02"/>
    <w:rsid w:val="001040A9"/>
    <w:rsid w:val="00110864"/>
    <w:rsid w:val="001126AA"/>
    <w:rsid w:val="00113448"/>
    <w:rsid w:val="00114E38"/>
    <w:rsid w:val="001226E2"/>
    <w:rsid w:val="001327E4"/>
    <w:rsid w:val="001327F5"/>
    <w:rsid w:val="001417F4"/>
    <w:rsid w:val="001546DC"/>
    <w:rsid w:val="0016075A"/>
    <w:rsid w:val="001615CC"/>
    <w:rsid w:val="00162B86"/>
    <w:rsid w:val="00162D79"/>
    <w:rsid w:val="001646DE"/>
    <w:rsid w:val="00164D36"/>
    <w:rsid w:val="0017665A"/>
    <w:rsid w:val="00176E23"/>
    <w:rsid w:val="001775DF"/>
    <w:rsid w:val="00182FFF"/>
    <w:rsid w:val="00187AC4"/>
    <w:rsid w:val="00190225"/>
    <w:rsid w:val="0019483B"/>
    <w:rsid w:val="001A3F7A"/>
    <w:rsid w:val="001A5AB5"/>
    <w:rsid w:val="001B54A1"/>
    <w:rsid w:val="001B5E7E"/>
    <w:rsid w:val="001B6191"/>
    <w:rsid w:val="001B7FC6"/>
    <w:rsid w:val="001C1E3E"/>
    <w:rsid w:val="001C258B"/>
    <w:rsid w:val="001C3362"/>
    <w:rsid w:val="001C5A75"/>
    <w:rsid w:val="001C7F09"/>
    <w:rsid w:val="001F3657"/>
    <w:rsid w:val="001F464B"/>
    <w:rsid w:val="001F4D0F"/>
    <w:rsid w:val="002035C2"/>
    <w:rsid w:val="00203DEA"/>
    <w:rsid w:val="00204ED1"/>
    <w:rsid w:val="00210192"/>
    <w:rsid w:val="00210609"/>
    <w:rsid w:val="00210D70"/>
    <w:rsid w:val="00226CD9"/>
    <w:rsid w:val="00233D9E"/>
    <w:rsid w:val="002371B7"/>
    <w:rsid w:val="0024778F"/>
    <w:rsid w:val="00254C59"/>
    <w:rsid w:val="00256D1F"/>
    <w:rsid w:val="00256D84"/>
    <w:rsid w:val="00257C0B"/>
    <w:rsid w:val="00257C3F"/>
    <w:rsid w:val="002612E2"/>
    <w:rsid w:val="00261334"/>
    <w:rsid w:val="00262AE6"/>
    <w:rsid w:val="002635E2"/>
    <w:rsid w:val="00272E43"/>
    <w:rsid w:val="002750F7"/>
    <w:rsid w:val="0027680A"/>
    <w:rsid w:val="00277DF4"/>
    <w:rsid w:val="00284110"/>
    <w:rsid w:val="00287713"/>
    <w:rsid w:val="00290D08"/>
    <w:rsid w:val="00292403"/>
    <w:rsid w:val="00292B06"/>
    <w:rsid w:val="002A0A91"/>
    <w:rsid w:val="002A2CEA"/>
    <w:rsid w:val="002A4E7F"/>
    <w:rsid w:val="002B634A"/>
    <w:rsid w:val="002C17D8"/>
    <w:rsid w:val="002C7B62"/>
    <w:rsid w:val="00300045"/>
    <w:rsid w:val="00301D6F"/>
    <w:rsid w:val="00304DD0"/>
    <w:rsid w:val="003117E3"/>
    <w:rsid w:val="003157EC"/>
    <w:rsid w:val="003349C0"/>
    <w:rsid w:val="00337AE4"/>
    <w:rsid w:val="0034031C"/>
    <w:rsid w:val="00341653"/>
    <w:rsid w:val="00347A2B"/>
    <w:rsid w:val="00352867"/>
    <w:rsid w:val="00363FBE"/>
    <w:rsid w:val="00366E79"/>
    <w:rsid w:val="0038012D"/>
    <w:rsid w:val="00390C33"/>
    <w:rsid w:val="003B1107"/>
    <w:rsid w:val="003B1F84"/>
    <w:rsid w:val="003C55CB"/>
    <w:rsid w:val="003C79B7"/>
    <w:rsid w:val="003E3A3B"/>
    <w:rsid w:val="003E6B9A"/>
    <w:rsid w:val="003F18C4"/>
    <w:rsid w:val="004069F8"/>
    <w:rsid w:val="00411F31"/>
    <w:rsid w:val="00414679"/>
    <w:rsid w:val="00426031"/>
    <w:rsid w:val="00427DD3"/>
    <w:rsid w:val="00434D0F"/>
    <w:rsid w:val="00434EB7"/>
    <w:rsid w:val="0044376F"/>
    <w:rsid w:val="00453547"/>
    <w:rsid w:val="00456E50"/>
    <w:rsid w:val="00461286"/>
    <w:rsid w:val="00470E9F"/>
    <w:rsid w:val="0048376A"/>
    <w:rsid w:val="00483DF4"/>
    <w:rsid w:val="004867AE"/>
    <w:rsid w:val="00486C56"/>
    <w:rsid w:val="00490541"/>
    <w:rsid w:val="00490CD5"/>
    <w:rsid w:val="00493B4F"/>
    <w:rsid w:val="00497FBB"/>
    <w:rsid w:val="004A647B"/>
    <w:rsid w:val="004A7CEC"/>
    <w:rsid w:val="004C656A"/>
    <w:rsid w:val="004C6B24"/>
    <w:rsid w:val="004D563D"/>
    <w:rsid w:val="004E4C43"/>
    <w:rsid w:val="004E6DB4"/>
    <w:rsid w:val="004E7008"/>
    <w:rsid w:val="004E7A88"/>
    <w:rsid w:val="004F3E3F"/>
    <w:rsid w:val="004F4667"/>
    <w:rsid w:val="004F5BBB"/>
    <w:rsid w:val="0050411D"/>
    <w:rsid w:val="00504FA9"/>
    <w:rsid w:val="00510414"/>
    <w:rsid w:val="005125A5"/>
    <w:rsid w:val="00516201"/>
    <w:rsid w:val="0052259B"/>
    <w:rsid w:val="005238B6"/>
    <w:rsid w:val="00531615"/>
    <w:rsid w:val="00533896"/>
    <w:rsid w:val="00537746"/>
    <w:rsid w:val="00543537"/>
    <w:rsid w:val="00544243"/>
    <w:rsid w:val="00545DFB"/>
    <w:rsid w:val="005475EE"/>
    <w:rsid w:val="005528EF"/>
    <w:rsid w:val="005540CE"/>
    <w:rsid w:val="00563372"/>
    <w:rsid w:val="00565178"/>
    <w:rsid w:val="00565CD9"/>
    <w:rsid w:val="00567775"/>
    <w:rsid w:val="00572832"/>
    <w:rsid w:val="00573670"/>
    <w:rsid w:val="00573F8E"/>
    <w:rsid w:val="00582F79"/>
    <w:rsid w:val="00595878"/>
    <w:rsid w:val="00595937"/>
    <w:rsid w:val="005965EB"/>
    <w:rsid w:val="00596A60"/>
    <w:rsid w:val="005B2191"/>
    <w:rsid w:val="005B6510"/>
    <w:rsid w:val="005C1118"/>
    <w:rsid w:val="005C39CC"/>
    <w:rsid w:val="005C60CE"/>
    <w:rsid w:val="005D1761"/>
    <w:rsid w:val="005E77C5"/>
    <w:rsid w:val="005F01D2"/>
    <w:rsid w:val="005F28F0"/>
    <w:rsid w:val="005F7375"/>
    <w:rsid w:val="00604229"/>
    <w:rsid w:val="006075FE"/>
    <w:rsid w:val="006108CA"/>
    <w:rsid w:val="00613E36"/>
    <w:rsid w:val="00622A00"/>
    <w:rsid w:val="00626632"/>
    <w:rsid w:val="00626EDF"/>
    <w:rsid w:val="00636D09"/>
    <w:rsid w:val="00636E55"/>
    <w:rsid w:val="006539D0"/>
    <w:rsid w:val="0066114D"/>
    <w:rsid w:val="00663577"/>
    <w:rsid w:val="0066366F"/>
    <w:rsid w:val="006652A5"/>
    <w:rsid w:val="006661F1"/>
    <w:rsid w:val="00670D28"/>
    <w:rsid w:val="00670E07"/>
    <w:rsid w:val="0067373B"/>
    <w:rsid w:val="006745BB"/>
    <w:rsid w:val="00677F3C"/>
    <w:rsid w:val="00680CC9"/>
    <w:rsid w:val="00680EE0"/>
    <w:rsid w:val="00684348"/>
    <w:rsid w:val="00685BC4"/>
    <w:rsid w:val="006907E7"/>
    <w:rsid w:val="00696344"/>
    <w:rsid w:val="006A105E"/>
    <w:rsid w:val="006A5B9A"/>
    <w:rsid w:val="006A62EB"/>
    <w:rsid w:val="006B674A"/>
    <w:rsid w:val="006B6CF2"/>
    <w:rsid w:val="006B7F73"/>
    <w:rsid w:val="006C02F4"/>
    <w:rsid w:val="006C61E3"/>
    <w:rsid w:val="006C6C53"/>
    <w:rsid w:val="006C7285"/>
    <w:rsid w:val="006C73F4"/>
    <w:rsid w:val="006D7215"/>
    <w:rsid w:val="006D7F45"/>
    <w:rsid w:val="006E076F"/>
    <w:rsid w:val="006E27F3"/>
    <w:rsid w:val="006E3E10"/>
    <w:rsid w:val="006E5366"/>
    <w:rsid w:val="006E5404"/>
    <w:rsid w:val="006F2F00"/>
    <w:rsid w:val="006F3B3C"/>
    <w:rsid w:val="006F6986"/>
    <w:rsid w:val="00701E89"/>
    <w:rsid w:val="0071301E"/>
    <w:rsid w:val="00716AC9"/>
    <w:rsid w:val="00716E2F"/>
    <w:rsid w:val="00717FE5"/>
    <w:rsid w:val="00730B7D"/>
    <w:rsid w:val="00737301"/>
    <w:rsid w:val="00747F5D"/>
    <w:rsid w:val="00751D50"/>
    <w:rsid w:val="00756BC5"/>
    <w:rsid w:val="007673AC"/>
    <w:rsid w:val="007713A1"/>
    <w:rsid w:val="00774932"/>
    <w:rsid w:val="007754EE"/>
    <w:rsid w:val="00781B18"/>
    <w:rsid w:val="00784763"/>
    <w:rsid w:val="00785407"/>
    <w:rsid w:val="00790EA7"/>
    <w:rsid w:val="00792394"/>
    <w:rsid w:val="007968EF"/>
    <w:rsid w:val="007A2DF8"/>
    <w:rsid w:val="007A3AD1"/>
    <w:rsid w:val="007A7389"/>
    <w:rsid w:val="007B1F9F"/>
    <w:rsid w:val="007B40AE"/>
    <w:rsid w:val="007C0FC3"/>
    <w:rsid w:val="007C3EDC"/>
    <w:rsid w:val="007D15DD"/>
    <w:rsid w:val="007D1A76"/>
    <w:rsid w:val="007D23B0"/>
    <w:rsid w:val="007D5127"/>
    <w:rsid w:val="007D7926"/>
    <w:rsid w:val="007E1D16"/>
    <w:rsid w:val="007E3053"/>
    <w:rsid w:val="007E7824"/>
    <w:rsid w:val="007E7B2C"/>
    <w:rsid w:val="007F0619"/>
    <w:rsid w:val="007F2F4E"/>
    <w:rsid w:val="00806689"/>
    <w:rsid w:val="008149F9"/>
    <w:rsid w:val="0082264B"/>
    <w:rsid w:val="0082590F"/>
    <w:rsid w:val="0083366D"/>
    <w:rsid w:val="00836F7A"/>
    <w:rsid w:val="00851170"/>
    <w:rsid w:val="008520F6"/>
    <w:rsid w:val="00867D98"/>
    <w:rsid w:val="00867E0D"/>
    <w:rsid w:val="00875E41"/>
    <w:rsid w:val="0088295D"/>
    <w:rsid w:val="00882EB8"/>
    <w:rsid w:val="00892E5D"/>
    <w:rsid w:val="00893858"/>
    <w:rsid w:val="008A0150"/>
    <w:rsid w:val="008A1ABF"/>
    <w:rsid w:val="008B053E"/>
    <w:rsid w:val="008B60EF"/>
    <w:rsid w:val="008C4C0A"/>
    <w:rsid w:val="008D4885"/>
    <w:rsid w:val="008E24CD"/>
    <w:rsid w:val="008E4F42"/>
    <w:rsid w:val="008E785A"/>
    <w:rsid w:val="008F5FC4"/>
    <w:rsid w:val="008F7081"/>
    <w:rsid w:val="008F7AA3"/>
    <w:rsid w:val="00903529"/>
    <w:rsid w:val="00905199"/>
    <w:rsid w:val="00913495"/>
    <w:rsid w:val="00913E2D"/>
    <w:rsid w:val="00927D6D"/>
    <w:rsid w:val="00933D41"/>
    <w:rsid w:val="00950A21"/>
    <w:rsid w:val="009518CF"/>
    <w:rsid w:val="00960221"/>
    <w:rsid w:val="00965B4B"/>
    <w:rsid w:val="00965F75"/>
    <w:rsid w:val="0097394B"/>
    <w:rsid w:val="00975FFD"/>
    <w:rsid w:val="009823DE"/>
    <w:rsid w:val="00982B96"/>
    <w:rsid w:val="009841F9"/>
    <w:rsid w:val="0098626A"/>
    <w:rsid w:val="00993AB6"/>
    <w:rsid w:val="00996A28"/>
    <w:rsid w:val="009A047F"/>
    <w:rsid w:val="009A14C4"/>
    <w:rsid w:val="009B2ACF"/>
    <w:rsid w:val="009B5A4C"/>
    <w:rsid w:val="009B6788"/>
    <w:rsid w:val="009C4EEA"/>
    <w:rsid w:val="009D154F"/>
    <w:rsid w:val="009D32E3"/>
    <w:rsid w:val="009D7D72"/>
    <w:rsid w:val="009E46CB"/>
    <w:rsid w:val="009E637E"/>
    <w:rsid w:val="009E65DA"/>
    <w:rsid w:val="009F4FB3"/>
    <w:rsid w:val="009F5A47"/>
    <w:rsid w:val="00A02F8F"/>
    <w:rsid w:val="00A04048"/>
    <w:rsid w:val="00A14B00"/>
    <w:rsid w:val="00A2427A"/>
    <w:rsid w:val="00A27DBA"/>
    <w:rsid w:val="00A31EB1"/>
    <w:rsid w:val="00A4270B"/>
    <w:rsid w:val="00A42EDE"/>
    <w:rsid w:val="00A516C3"/>
    <w:rsid w:val="00A60F68"/>
    <w:rsid w:val="00A612E1"/>
    <w:rsid w:val="00A655CF"/>
    <w:rsid w:val="00A77AF1"/>
    <w:rsid w:val="00A8334C"/>
    <w:rsid w:val="00A83A9C"/>
    <w:rsid w:val="00A92C1D"/>
    <w:rsid w:val="00A92DB0"/>
    <w:rsid w:val="00AA073B"/>
    <w:rsid w:val="00AA09ED"/>
    <w:rsid w:val="00AB3BFF"/>
    <w:rsid w:val="00AB6083"/>
    <w:rsid w:val="00AD0724"/>
    <w:rsid w:val="00AD6B85"/>
    <w:rsid w:val="00AF41D3"/>
    <w:rsid w:val="00AF5310"/>
    <w:rsid w:val="00AF7196"/>
    <w:rsid w:val="00B01C59"/>
    <w:rsid w:val="00B032E5"/>
    <w:rsid w:val="00B0580F"/>
    <w:rsid w:val="00B14DF0"/>
    <w:rsid w:val="00B23148"/>
    <w:rsid w:val="00B23C02"/>
    <w:rsid w:val="00B244C0"/>
    <w:rsid w:val="00B278C1"/>
    <w:rsid w:val="00B33F2D"/>
    <w:rsid w:val="00B3620D"/>
    <w:rsid w:val="00B561FD"/>
    <w:rsid w:val="00B5751F"/>
    <w:rsid w:val="00B71DE2"/>
    <w:rsid w:val="00B72A11"/>
    <w:rsid w:val="00B739AE"/>
    <w:rsid w:val="00B81771"/>
    <w:rsid w:val="00B81C87"/>
    <w:rsid w:val="00B81CFE"/>
    <w:rsid w:val="00B90FA0"/>
    <w:rsid w:val="00B937EF"/>
    <w:rsid w:val="00B97B1B"/>
    <w:rsid w:val="00BA7AC6"/>
    <w:rsid w:val="00BB1B60"/>
    <w:rsid w:val="00BB1EAD"/>
    <w:rsid w:val="00BB6D2A"/>
    <w:rsid w:val="00BB782F"/>
    <w:rsid w:val="00BC335C"/>
    <w:rsid w:val="00BD4EB3"/>
    <w:rsid w:val="00BD6A11"/>
    <w:rsid w:val="00BD75AE"/>
    <w:rsid w:val="00BF19D8"/>
    <w:rsid w:val="00BF4DEE"/>
    <w:rsid w:val="00BF6D0A"/>
    <w:rsid w:val="00BF7272"/>
    <w:rsid w:val="00C12ADA"/>
    <w:rsid w:val="00C20729"/>
    <w:rsid w:val="00C222F1"/>
    <w:rsid w:val="00C24DF9"/>
    <w:rsid w:val="00C26D3E"/>
    <w:rsid w:val="00C3350A"/>
    <w:rsid w:val="00C35FC9"/>
    <w:rsid w:val="00C4041A"/>
    <w:rsid w:val="00C44C84"/>
    <w:rsid w:val="00C45688"/>
    <w:rsid w:val="00C45E6A"/>
    <w:rsid w:val="00C504C3"/>
    <w:rsid w:val="00C50E9B"/>
    <w:rsid w:val="00C51EB3"/>
    <w:rsid w:val="00C531C5"/>
    <w:rsid w:val="00C545BB"/>
    <w:rsid w:val="00C61472"/>
    <w:rsid w:val="00C61EB1"/>
    <w:rsid w:val="00C722E8"/>
    <w:rsid w:val="00C76597"/>
    <w:rsid w:val="00C77B79"/>
    <w:rsid w:val="00C8021C"/>
    <w:rsid w:val="00C9213A"/>
    <w:rsid w:val="00C92DCF"/>
    <w:rsid w:val="00C93636"/>
    <w:rsid w:val="00C94A87"/>
    <w:rsid w:val="00CA0F56"/>
    <w:rsid w:val="00CA1AC9"/>
    <w:rsid w:val="00CA3C0B"/>
    <w:rsid w:val="00CA5C64"/>
    <w:rsid w:val="00CB092C"/>
    <w:rsid w:val="00CB4176"/>
    <w:rsid w:val="00CC112B"/>
    <w:rsid w:val="00CC1A09"/>
    <w:rsid w:val="00CC31CD"/>
    <w:rsid w:val="00CC4BED"/>
    <w:rsid w:val="00CD3505"/>
    <w:rsid w:val="00CD4B02"/>
    <w:rsid w:val="00CE022E"/>
    <w:rsid w:val="00CE0ED7"/>
    <w:rsid w:val="00CE479E"/>
    <w:rsid w:val="00CF328D"/>
    <w:rsid w:val="00CF76FC"/>
    <w:rsid w:val="00D1341B"/>
    <w:rsid w:val="00D166FC"/>
    <w:rsid w:val="00D21760"/>
    <w:rsid w:val="00D25C7D"/>
    <w:rsid w:val="00D30713"/>
    <w:rsid w:val="00D32CAB"/>
    <w:rsid w:val="00D33B1B"/>
    <w:rsid w:val="00D40577"/>
    <w:rsid w:val="00D4487A"/>
    <w:rsid w:val="00D47CD2"/>
    <w:rsid w:val="00D47DE1"/>
    <w:rsid w:val="00D552D8"/>
    <w:rsid w:val="00D57FB2"/>
    <w:rsid w:val="00D57FC9"/>
    <w:rsid w:val="00D6424C"/>
    <w:rsid w:val="00D73EBB"/>
    <w:rsid w:val="00D818CE"/>
    <w:rsid w:val="00D832B3"/>
    <w:rsid w:val="00D8650F"/>
    <w:rsid w:val="00D906D7"/>
    <w:rsid w:val="00D970EB"/>
    <w:rsid w:val="00D97F0B"/>
    <w:rsid w:val="00DB2B8F"/>
    <w:rsid w:val="00DB3C04"/>
    <w:rsid w:val="00DC1460"/>
    <w:rsid w:val="00DC5C0E"/>
    <w:rsid w:val="00DD0F8E"/>
    <w:rsid w:val="00DD222D"/>
    <w:rsid w:val="00DD3AAE"/>
    <w:rsid w:val="00DD5036"/>
    <w:rsid w:val="00DF077A"/>
    <w:rsid w:val="00DF2A29"/>
    <w:rsid w:val="00DF4C56"/>
    <w:rsid w:val="00DF65EE"/>
    <w:rsid w:val="00DF6F28"/>
    <w:rsid w:val="00E00BD8"/>
    <w:rsid w:val="00E036A9"/>
    <w:rsid w:val="00E158F3"/>
    <w:rsid w:val="00E2600B"/>
    <w:rsid w:val="00E36A4D"/>
    <w:rsid w:val="00E422C7"/>
    <w:rsid w:val="00E45F90"/>
    <w:rsid w:val="00E46515"/>
    <w:rsid w:val="00E47BDC"/>
    <w:rsid w:val="00E51EB0"/>
    <w:rsid w:val="00E53D8D"/>
    <w:rsid w:val="00E65801"/>
    <w:rsid w:val="00E672EF"/>
    <w:rsid w:val="00E73F84"/>
    <w:rsid w:val="00E73FBF"/>
    <w:rsid w:val="00E9222F"/>
    <w:rsid w:val="00E95ACF"/>
    <w:rsid w:val="00E978FA"/>
    <w:rsid w:val="00EA09FA"/>
    <w:rsid w:val="00EA5D3E"/>
    <w:rsid w:val="00EB0281"/>
    <w:rsid w:val="00EB0EFA"/>
    <w:rsid w:val="00EB3F4A"/>
    <w:rsid w:val="00EB6841"/>
    <w:rsid w:val="00EB7D91"/>
    <w:rsid w:val="00EC5201"/>
    <w:rsid w:val="00ED5C3B"/>
    <w:rsid w:val="00EE106D"/>
    <w:rsid w:val="00EE6FEE"/>
    <w:rsid w:val="00EF2686"/>
    <w:rsid w:val="00F03492"/>
    <w:rsid w:val="00F03D3B"/>
    <w:rsid w:val="00F0793E"/>
    <w:rsid w:val="00F07D31"/>
    <w:rsid w:val="00F1373F"/>
    <w:rsid w:val="00F2088F"/>
    <w:rsid w:val="00F244F3"/>
    <w:rsid w:val="00F2677B"/>
    <w:rsid w:val="00F3130C"/>
    <w:rsid w:val="00F41BAE"/>
    <w:rsid w:val="00F43678"/>
    <w:rsid w:val="00F4669D"/>
    <w:rsid w:val="00F472EB"/>
    <w:rsid w:val="00F50B54"/>
    <w:rsid w:val="00F5573E"/>
    <w:rsid w:val="00F57DA6"/>
    <w:rsid w:val="00F61E02"/>
    <w:rsid w:val="00F6357B"/>
    <w:rsid w:val="00F6374C"/>
    <w:rsid w:val="00F6402B"/>
    <w:rsid w:val="00F66F08"/>
    <w:rsid w:val="00F757D7"/>
    <w:rsid w:val="00F80E26"/>
    <w:rsid w:val="00F925A8"/>
    <w:rsid w:val="00F92C4F"/>
    <w:rsid w:val="00F933E6"/>
    <w:rsid w:val="00F958FE"/>
    <w:rsid w:val="00F97BFA"/>
    <w:rsid w:val="00FA27D8"/>
    <w:rsid w:val="00FA3765"/>
    <w:rsid w:val="00FA3891"/>
    <w:rsid w:val="00FA38AC"/>
    <w:rsid w:val="00FA5A41"/>
    <w:rsid w:val="00FB0F47"/>
    <w:rsid w:val="00FB53C7"/>
    <w:rsid w:val="00FB6A4D"/>
    <w:rsid w:val="00FC2151"/>
    <w:rsid w:val="00FC245B"/>
    <w:rsid w:val="00FE200C"/>
    <w:rsid w:val="00FE3F81"/>
    <w:rsid w:val="00FE5C51"/>
    <w:rsid w:val="00FF3B07"/>
    <w:rsid w:val="00FF5FBE"/>
    <w:rsid w:val="159A2269"/>
    <w:rsid w:val="21B9179B"/>
    <w:rsid w:val="33DF4994"/>
    <w:rsid w:val="38A4221D"/>
    <w:rsid w:val="442E7586"/>
    <w:rsid w:val="4A0A03F3"/>
    <w:rsid w:val="530F1ECE"/>
    <w:rsid w:val="76EE61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28"/>
      <w:szCs w:val="22"/>
      <w:lang w:val="en-US" w:eastAsia="zh-CN" w:bidi="ar-SA"/>
    </w:rPr>
  </w:style>
  <w:style w:type="paragraph" w:styleId="2">
    <w:name w:val="heading 2"/>
    <w:basedOn w:val="1"/>
    <w:next w:val="1"/>
    <w:link w:val="16"/>
    <w:qFormat/>
    <w:uiPriority w:val="9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link w:val="17"/>
    <w:qFormat/>
    <w:uiPriority w:val="9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34"/>
    <w:semiHidden/>
    <w:unhideWhenUsed/>
    <w:qFormat/>
    <w:uiPriority w:val="99"/>
    <w:pPr>
      <w:ind w:left="100" w:leftChars="2500"/>
    </w:pPr>
  </w:style>
  <w:style w:type="paragraph" w:styleId="5">
    <w:name w:val="Balloon Text"/>
    <w:basedOn w:val="1"/>
    <w:link w:val="30"/>
    <w:semiHidden/>
    <w:qFormat/>
    <w:uiPriority w:val="99"/>
    <w:rPr>
      <w:sz w:val="18"/>
      <w:szCs w:val="18"/>
    </w:rPr>
  </w:style>
  <w:style w:type="paragraph" w:styleId="6">
    <w:name w:val="footer"/>
    <w:basedOn w:val="1"/>
    <w:link w:val="19"/>
    <w:semiHidden/>
    <w:qFormat/>
    <w:uiPriority w:val="99"/>
    <w:pPr>
      <w:tabs>
        <w:tab w:val="center" w:pos="4153"/>
        <w:tab w:val="right" w:pos="8306"/>
      </w:tabs>
      <w:snapToGrid w:val="0"/>
      <w:jc w:val="left"/>
    </w:pPr>
    <w:rPr>
      <w:sz w:val="18"/>
      <w:szCs w:val="18"/>
    </w:rPr>
  </w:style>
  <w:style w:type="paragraph" w:styleId="7">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9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Strong"/>
    <w:basedOn w:val="11"/>
    <w:qFormat/>
    <w:locked/>
    <w:uiPriority w:val="22"/>
    <w:rPr>
      <w:b/>
      <w:bCs/>
    </w:rPr>
  </w:style>
  <w:style w:type="character" w:styleId="13">
    <w:name w:val="page number"/>
    <w:basedOn w:val="11"/>
    <w:qFormat/>
    <w:uiPriority w:val="99"/>
    <w:rPr>
      <w:rFonts w:cs="Times New Roman"/>
    </w:rPr>
  </w:style>
  <w:style w:type="character" w:styleId="14">
    <w:name w:val="FollowedHyperlink"/>
    <w:basedOn w:val="11"/>
    <w:semiHidden/>
    <w:unhideWhenUsed/>
    <w:qFormat/>
    <w:uiPriority w:val="99"/>
    <w:rPr>
      <w:color w:val="800080"/>
      <w:u w:val="single"/>
    </w:rPr>
  </w:style>
  <w:style w:type="character" w:styleId="15">
    <w:name w:val="Hyperlink"/>
    <w:basedOn w:val="11"/>
    <w:semiHidden/>
    <w:unhideWhenUsed/>
    <w:qFormat/>
    <w:uiPriority w:val="99"/>
    <w:rPr>
      <w:color w:val="0000FF"/>
      <w:u w:val="single"/>
    </w:rPr>
  </w:style>
  <w:style w:type="character" w:customStyle="1" w:styleId="16">
    <w:name w:val="标题 2 Char"/>
    <w:basedOn w:val="11"/>
    <w:link w:val="2"/>
    <w:qFormat/>
    <w:locked/>
    <w:uiPriority w:val="99"/>
    <w:rPr>
      <w:rFonts w:ascii="等线 Light" w:hAnsi="等线 Light" w:eastAsia="等线 Light" w:cs="Times New Roman"/>
      <w:b/>
      <w:bCs/>
      <w:sz w:val="32"/>
      <w:szCs w:val="32"/>
    </w:rPr>
  </w:style>
  <w:style w:type="character" w:customStyle="1" w:styleId="17">
    <w:name w:val="标题 3 Char"/>
    <w:basedOn w:val="11"/>
    <w:link w:val="3"/>
    <w:semiHidden/>
    <w:qFormat/>
    <w:locked/>
    <w:uiPriority w:val="99"/>
    <w:rPr>
      <w:rFonts w:ascii="Times New Roman" w:hAnsi="Times New Roman" w:eastAsia="仿宋_GB2312" w:cs="Times New Roman"/>
      <w:b/>
      <w:bCs/>
      <w:sz w:val="32"/>
      <w:szCs w:val="32"/>
    </w:rPr>
  </w:style>
  <w:style w:type="character" w:customStyle="1" w:styleId="18">
    <w:name w:val="页眉 Char"/>
    <w:basedOn w:val="11"/>
    <w:link w:val="7"/>
    <w:semiHidden/>
    <w:qFormat/>
    <w:locked/>
    <w:uiPriority w:val="99"/>
    <w:rPr>
      <w:rFonts w:cs="Times New Roman"/>
      <w:sz w:val="18"/>
      <w:szCs w:val="18"/>
    </w:rPr>
  </w:style>
  <w:style w:type="character" w:customStyle="1" w:styleId="19">
    <w:name w:val="页脚 Char"/>
    <w:basedOn w:val="11"/>
    <w:link w:val="6"/>
    <w:semiHidden/>
    <w:qFormat/>
    <w:locked/>
    <w:uiPriority w:val="99"/>
    <w:rPr>
      <w:rFonts w:cs="Times New Roman"/>
      <w:sz w:val="18"/>
      <w:szCs w:val="18"/>
    </w:rPr>
  </w:style>
  <w:style w:type="paragraph" w:customStyle="1" w:styleId="20">
    <w:name w:val="闻政标题3"/>
    <w:basedOn w:val="3"/>
    <w:link w:val="22"/>
    <w:qFormat/>
    <w:uiPriority w:val="99"/>
    <w:pPr>
      <w:spacing w:before="120" w:after="60" w:line="500" w:lineRule="exact"/>
      <w:jc w:val="left"/>
      <w:outlineLvl w:val="0"/>
    </w:pPr>
    <w:rPr>
      <w:rFonts w:ascii="黑体" w:hAnsi="黑体" w:eastAsia="黑体"/>
      <w:bCs w:val="0"/>
      <w:kern w:val="0"/>
      <w:szCs w:val="20"/>
    </w:rPr>
  </w:style>
  <w:style w:type="paragraph" w:customStyle="1" w:styleId="21">
    <w:name w:val="闻政标题4"/>
    <w:basedOn w:val="2"/>
    <w:link w:val="23"/>
    <w:qFormat/>
    <w:uiPriority w:val="0"/>
    <w:pPr>
      <w:spacing w:before="120" w:after="60" w:line="500" w:lineRule="exact"/>
      <w:ind w:firstLine="200" w:firstLineChars="200"/>
      <w:jc w:val="left"/>
    </w:pPr>
    <w:rPr>
      <w:rFonts w:ascii="Times New Roman" w:hAnsi="Times New Roman" w:eastAsia="仿宋_GB2312"/>
      <w:bCs w:val="0"/>
      <w:kern w:val="0"/>
      <w:szCs w:val="20"/>
    </w:rPr>
  </w:style>
  <w:style w:type="character" w:customStyle="1" w:styleId="22">
    <w:name w:val="闻政标题3 Char"/>
    <w:link w:val="20"/>
    <w:qFormat/>
    <w:locked/>
    <w:uiPriority w:val="99"/>
    <w:rPr>
      <w:rFonts w:ascii="黑体" w:hAnsi="黑体" w:eastAsia="黑体"/>
      <w:b/>
      <w:kern w:val="0"/>
      <w:sz w:val="32"/>
    </w:rPr>
  </w:style>
  <w:style w:type="character" w:customStyle="1" w:styleId="23">
    <w:name w:val="闻政标题4 Char"/>
    <w:link w:val="21"/>
    <w:qFormat/>
    <w:locked/>
    <w:uiPriority w:val="0"/>
    <w:rPr>
      <w:rFonts w:ascii="Times New Roman" w:hAnsi="Times New Roman" w:eastAsia="仿宋_GB2312"/>
      <w:b/>
      <w:kern w:val="0"/>
      <w:sz w:val="32"/>
    </w:rPr>
  </w:style>
  <w:style w:type="paragraph" w:customStyle="1" w:styleId="24">
    <w:name w:val="闻政表"/>
    <w:basedOn w:val="1"/>
    <w:link w:val="26"/>
    <w:qFormat/>
    <w:uiPriority w:val="99"/>
    <w:pPr>
      <w:spacing w:before="120" w:after="60"/>
      <w:jc w:val="center"/>
    </w:pPr>
    <w:rPr>
      <w:b/>
      <w:kern w:val="0"/>
      <w:szCs w:val="20"/>
    </w:rPr>
  </w:style>
  <w:style w:type="paragraph" w:customStyle="1" w:styleId="25">
    <w:name w:val="闻政正文"/>
    <w:basedOn w:val="1"/>
    <w:link w:val="27"/>
    <w:qFormat/>
    <w:uiPriority w:val="0"/>
    <w:pPr>
      <w:spacing w:line="500" w:lineRule="exact"/>
      <w:ind w:firstLine="560" w:firstLineChars="200"/>
    </w:pPr>
    <w:rPr>
      <w:kern w:val="0"/>
      <w:szCs w:val="20"/>
    </w:rPr>
  </w:style>
  <w:style w:type="character" w:customStyle="1" w:styleId="26">
    <w:name w:val="闻政表 Char"/>
    <w:link w:val="24"/>
    <w:qFormat/>
    <w:locked/>
    <w:uiPriority w:val="99"/>
    <w:rPr>
      <w:rFonts w:ascii="Times New Roman" w:hAnsi="Times New Roman" w:eastAsia="仿宋_GB2312"/>
      <w:b/>
      <w:kern w:val="0"/>
      <w:sz w:val="28"/>
    </w:rPr>
  </w:style>
  <w:style w:type="character" w:customStyle="1" w:styleId="27">
    <w:name w:val="闻政正文 Char"/>
    <w:link w:val="25"/>
    <w:qFormat/>
    <w:locked/>
    <w:uiPriority w:val="0"/>
    <w:rPr>
      <w:rFonts w:ascii="Times New Roman" w:hAnsi="Times New Roman" w:eastAsia="仿宋_GB2312"/>
      <w:kern w:val="0"/>
      <w:sz w:val="28"/>
    </w:rPr>
  </w:style>
  <w:style w:type="paragraph" w:customStyle="1" w:styleId="28">
    <w:name w:val="正文-闻政"/>
    <w:link w:val="29"/>
    <w:qFormat/>
    <w:uiPriority w:val="99"/>
    <w:pPr>
      <w:spacing w:line="500" w:lineRule="exact"/>
      <w:ind w:firstLine="200" w:firstLineChars="200"/>
    </w:pPr>
    <w:rPr>
      <w:rFonts w:ascii="等线" w:hAnsi="等线" w:eastAsia="仿宋_GB2312" w:cs="Times New Roman"/>
      <w:sz w:val="22"/>
      <w:szCs w:val="22"/>
      <w:lang w:val="en-US" w:eastAsia="zh-CN" w:bidi="ar-SA"/>
    </w:rPr>
  </w:style>
  <w:style w:type="character" w:customStyle="1" w:styleId="29">
    <w:name w:val="正文-闻政 Char"/>
    <w:link w:val="28"/>
    <w:qFormat/>
    <w:locked/>
    <w:uiPriority w:val="99"/>
    <w:rPr>
      <w:rFonts w:eastAsia="仿宋_GB2312"/>
      <w:sz w:val="22"/>
      <w:szCs w:val="22"/>
      <w:lang w:val="en-US" w:eastAsia="zh-CN" w:bidi="ar-SA"/>
    </w:rPr>
  </w:style>
  <w:style w:type="character" w:customStyle="1" w:styleId="30">
    <w:name w:val="批注框文本 Char"/>
    <w:basedOn w:val="11"/>
    <w:link w:val="5"/>
    <w:semiHidden/>
    <w:qFormat/>
    <w:locked/>
    <w:uiPriority w:val="99"/>
    <w:rPr>
      <w:rFonts w:ascii="Times New Roman" w:hAnsi="Times New Roman" w:eastAsia="仿宋_GB2312" w:cs="Times New Roman"/>
      <w:sz w:val="2"/>
    </w:rPr>
  </w:style>
  <w:style w:type="paragraph" w:customStyle="1" w:styleId="31">
    <w:name w:val="reader-word-layer reader-word-s1-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2">
    <w:name w:val="reader-word-layer reader-word-s1-10"/>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3">
    <w:name w:val="reader-word-layer reader-word-s1-13"/>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34">
    <w:name w:val="日期 Char"/>
    <w:basedOn w:val="11"/>
    <w:link w:val="4"/>
    <w:semiHidden/>
    <w:qFormat/>
    <w:uiPriority w:val="99"/>
    <w:rPr>
      <w:rFonts w:ascii="Times New Roman" w:hAnsi="Times New Roman" w:eastAsia="仿宋_GB2312"/>
      <w:sz w:val="28"/>
    </w:rPr>
  </w:style>
  <w:style w:type="paragraph" w:customStyle="1" w:styleId="35">
    <w:name w:val="font5"/>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36">
    <w:name w:val="font6"/>
    <w:basedOn w:val="1"/>
    <w:uiPriority w:val="0"/>
    <w:pPr>
      <w:widowControl/>
      <w:spacing w:before="100" w:beforeAutospacing="1" w:after="100" w:afterAutospacing="1" w:line="240" w:lineRule="auto"/>
      <w:jc w:val="left"/>
    </w:pPr>
    <w:rPr>
      <w:rFonts w:eastAsia="宋体"/>
      <w:kern w:val="0"/>
      <w:sz w:val="24"/>
      <w:szCs w:val="24"/>
    </w:rPr>
  </w:style>
  <w:style w:type="paragraph" w:customStyle="1" w:styleId="37">
    <w:name w:val="font7"/>
    <w:basedOn w:val="1"/>
    <w:qFormat/>
    <w:uiPriority w:val="0"/>
    <w:pPr>
      <w:widowControl/>
      <w:spacing w:before="100" w:beforeAutospacing="1" w:after="100" w:afterAutospacing="1" w:line="240" w:lineRule="auto"/>
      <w:jc w:val="left"/>
    </w:pPr>
    <w:rPr>
      <w:rFonts w:ascii="仿宋_GB2312" w:hAnsi="宋体" w:cs="宋体"/>
      <w:kern w:val="0"/>
      <w:sz w:val="24"/>
      <w:szCs w:val="24"/>
    </w:rPr>
  </w:style>
  <w:style w:type="paragraph" w:customStyle="1" w:styleId="38">
    <w:name w:val="xl65"/>
    <w:basedOn w:val="1"/>
    <w:uiPriority w:val="0"/>
    <w:pPr>
      <w:widowControl/>
      <w:spacing w:before="100" w:beforeAutospacing="1" w:after="100" w:afterAutospacing="1" w:line="240" w:lineRule="auto"/>
      <w:jc w:val="center"/>
    </w:pPr>
    <w:rPr>
      <w:rFonts w:ascii="宋体" w:hAnsi="宋体" w:eastAsia="宋体" w:cs="宋体"/>
      <w:kern w:val="0"/>
      <w:sz w:val="20"/>
      <w:szCs w:val="20"/>
    </w:rPr>
  </w:style>
  <w:style w:type="paragraph" w:customStyle="1" w:styleId="39">
    <w:name w:val="xl66"/>
    <w:basedOn w:val="1"/>
    <w:uiPriority w:val="0"/>
    <w:pPr>
      <w:widowControl/>
      <w:spacing w:before="100" w:beforeAutospacing="1" w:after="100" w:afterAutospacing="1" w:line="240" w:lineRule="auto"/>
      <w:jc w:val="center"/>
    </w:pPr>
    <w:rPr>
      <w:rFonts w:ascii="宋体" w:hAnsi="宋体" w:eastAsia="宋体" w:cs="宋体"/>
      <w:b/>
      <w:bCs/>
      <w:kern w:val="0"/>
      <w:sz w:val="20"/>
      <w:szCs w:val="20"/>
    </w:rPr>
  </w:style>
  <w:style w:type="paragraph" w:customStyle="1" w:styleId="40">
    <w:name w:val="xl67"/>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41">
    <w:name w:val="xl68"/>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eastAsia="宋体"/>
      <w:kern w:val="0"/>
      <w:sz w:val="24"/>
      <w:szCs w:val="24"/>
    </w:rPr>
  </w:style>
  <w:style w:type="paragraph" w:customStyle="1" w:styleId="42">
    <w:name w:val="xl69"/>
    <w:basedOn w:val="1"/>
    <w:uiPriority w:val="0"/>
    <w:pPr>
      <w:widowControl/>
      <w:pBdr>
        <w:bottom w:val="single" w:color="auto" w:sz="8" w:space="0"/>
        <w:right w:val="single" w:color="auto" w:sz="8" w:space="0"/>
      </w:pBdr>
      <w:shd w:val="clear" w:color="000000" w:fill="FFFFFF"/>
      <w:spacing w:before="100" w:beforeAutospacing="1" w:after="100" w:afterAutospacing="1" w:line="240" w:lineRule="auto"/>
      <w:jc w:val="center"/>
    </w:pPr>
    <w:rPr>
      <w:rFonts w:eastAsia="宋体"/>
      <w:kern w:val="0"/>
      <w:sz w:val="24"/>
      <w:szCs w:val="24"/>
    </w:rPr>
  </w:style>
  <w:style w:type="paragraph" w:customStyle="1" w:styleId="43">
    <w:name w:val="xl70"/>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ascii="仿宋_GB2312" w:hAnsi="宋体" w:cs="宋体"/>
      <w:b/>
      <w:bCs/>
      <w:kern w:val="0"/>
      <w:sz w:val="24"/>
      <w:szCs w:val="24"/>
    </w:rPr>
  </w:style>
  <w:style w:type="paragraph" w:customStyle="1" w:styleId="44">
    <w:name w:val="xl71"/>
    <w:basedOn w:val="1"/>
    <w:uiPriority w:val="0"/>
    <w:pPr>
      <w:widowControl/>
      <w:pBdr>
        <w:bottom w:val="single" w:color="auto" w:sz="8" w:space="0"/>
        <w:right w:val="single" w:color="auto" w:sz="8" w:space="0"/>
      </w:pBdr>
      <w:shd w:val="clear" w:color="000000" w:fill="FFFFFF"/>
      <w:spacing w:before="100" w:beforeAutospacing="1" w:after="100" w:afterAutospacing="1" w:line="240" w:lineRule="auto"/>
      <w:jc w:val="center"/>
    </w:pPr>
    <w:rPr>
      <w:rFonts w:eastAsia="宋体"/>
      <w:b/>
      <w:bCs/>
      <w:kern w:val="0"/>
      <w:sz w:val="24"/>
      <w:szCs w:val="24"/>
    </w:rPr>
  </w:style>
  <w:style w:type="paragraph" w:customStyle="1" w:styleId="45">
    <w:name w:val="xl72"/>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eastAsia="宋体"/>
      <w:kern w:val="0"/>
      <w:sz w:val="24"/>
      <w:szCs w:val="24"/>
    </w:rPr>
  </w:style>
  <w:style w:type="paragraph" w:customStyle="1" w:styleId="46">
    <w:name w:val="xl73"/>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eastAsia="宋体"/>
      <w:b/>
      <w:bCs/>
      <w:kern w:val="0"/>
      <w:sz w:val="24"/>
      <w:szCs w:val="24"/>
    </w:rPr>
  </w:style>
  <w:style w:type="paragraph" w:customStyle="1" w:styleId="47">
    <w:name w:val="xl74"/>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eastAsia="宋体"/>
      <w:b/>
      <w:bCs/>
      <w:kern w:val="0"/>
      <w:sz w:val="24"/>
      <w:szCs w:val="24"/>
    </w:rPr>
  </w:style>
  <w:style w:type="paragraph" w:customStyle="1" w:styleId="48">
    <w:name w:val="xl75"/>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49">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50">
    <w:name w:val="xl77"/>
    <w:basedOn w:val="1"/>
    <w:qFormat/>
    <w:uiPriority w:val="0"/>
    <w:pPr>
      <w:widowControl/>
      <w:pBdr>
        <w:left w:val="single" w:color="auto" w:sz="8" w:space="0"/>
        <w:bottom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51">
    <w:name w:val="xl78"/>
    <w:basedOn w:val="1"/>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52">
    <w:name w:val="xl79"/>
    <w:basedOn w:val="1"/>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53">
    <w:name w:val="xl80"/>
    <w:basedOn w:val="1"/>
    <w:qFormat/>
    <w:uiPriority w:val="0"/>
    <w:pPr>
      <w:widowControl/>
      <w:pBdr>
        <w:left w:val="single" w:color="auto" w:sz="8" w:space="0"/>
        <w:bottom w:val="single" w:color="auto" w:sz="8" w:space="0"/>
      </w:pBdr>
      <w:spacing w:before="100" w:beforeAutospacing="1" w:after="100" w:afterAutospacing="1" w:line="240" w:lineRule="auto"/>
      <w:jc w:val="center"/>
    </w:pPr>
    <w:rPr>
      <w:rFonts w:ascii="仿宋_GB2312" w:hAnsi="宋体" w:cs="宋体"/>
      <w:b/>
      <w:bCs/>
      <w:kern w:val="0"/>
      <w:sz w:val="24"/>
      <w:szCs w:val="24"/>
    </w:rPr>
  </w:style>
  <w:style w:type="paragraph" w:customStyle="1" w:styleId="54">
    <w:name w:val="xl81"/>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rFonts w:ascii="仿宋_GB2312" w:hAnsi="宋体" w:cs="宋体"/>
      <w:b/>
      <w:bCs/>
      <w:kern w:val="0"/>
      <w:sz w:val="24"/>
      <w:szCs w:val="24"/>
    </w:rPr>
  </w:style>
  <w:style w:type="paragraph" w:customStyle="1" w:styleId="55">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rFonts w:ascii="仿宋_GB2312" w:hAnsi="宋体" w:cs="宋体"/>
      <w:b/>
      <w:bCs/>
      <w:kern w:val="0"/>
      <w:sz w:val="24"/>
      <w:szCs w:val="24"/>
    </w:rPr>
  </w:style>
  <w:style w:type="paragraph" w:customStyle="1" w:styleId="56">
    <w:name w:val="xl83"/>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57">
    <w:name w:val="xl84"/>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58">
    <w:name w:val="xl85"/>
    <w:basedOn w:val="1"/>
    <w:uiPriority w:val="0"/>
    <w:pPr>
      <w:widowControl/>
      <w:pBdr>
        <w:top w:val="single" w:color="auto" w:sz="8" w:space="0"/>
        <w:left w:val="single" w:color="auto" w:sz="8" w:space="0"/>
      </w:pBdr>
      <w:spacing w:before="100" w:beforeAutospacing="1" w:after="100" w:afterAutospacing="1" w:line="240" w:lineRule="auto"/>
      <w:jc w:val="center"/>
    </w:pPr>
    <w:rPr>
      <w:rFonts w:ascii="仿宋_GB2312" w:hAnsi="宋体" w:cs="宋体"/>
      <w:b/>
      <w:bCs/>
      <w:kern w:val="0"/>
      <w:sz w:val="24"/>
      <w:szCs w:val="24"/>
    </w:rPr>
  </w:style>
  <w:style w:type="paragraph" w:customStyle="1" w:styleId="59">
    <w:name w:val="xl86"/>
    <w:basedOn w:val="1"/>
    <w:qFormat/>
    <w:uiPriority w:val="0"/>
    <w:pPr>
      <w:widowControl/>
      <w:pBdr>
        <w:top w:val="single" w:color="auto" w:sz="8" w:space="0"/>
        <w:right w:val="single" w:color="auto" w:sz="8" w:space="0"/>
      </w:pBdr>
      <w:spacing w:before="100" w:beforeAutospacing="1" w:after="100" w:afterAutospacing="1" w:line="240" w:lineRule="auto"/>
      <w:jc w:val="center"/>
    </w:pPr>
    <w:rPr>
      <w:rFonts w:ascii="仿宋_GB2312" w:hAnsi="宋体" w:cs="宋体"/>
      <w:b/>
      <w:bCs/>
      <w:kern w:val="0"/>
      <w:sz w:val="24"/>
      <w:szCs w:val="24"/>
    </w:rPr>
  </w:style>
  <w:style w:type="paragraph" w:customStyle="1" w:styleId="60">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pPr>
    <w:rPr>
      <w:rFonts w:ascii="仿宋_GB2312" w:hAnsi="宋体" w:cs="宋体"/>
      <w:b/>
      <w:bCs/>
      <w:kern w:val="0"/>
      <w:sz w:val="24"/>
      <w:szCs w:val="24"/>
    </w:rPr>
  </w:style>
  <w:style w:type="paragraph" w:customStyle="1" w:styleId="61">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pPr>
    <w:rPr>
      <w:rFonts w:ascii="仿宋_GB2312" w:hAnsi="宋体" w:cs="宋体"/>
      <w:b/>
      <w:bCs/>
      <w:kern w:val="0"/>
      <w:sz w:val="24"/>
      <w:szCs w:val="24"/>
    </w:rPr>
  </w:style>
  <w:style w:type="paragraph" w:customStyle="1" w:styleId="62">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pPr>
    <w:rPr>
      <w:rFonts w:eastAsia="宋体"/>
      <w:b/>
      <w:bCs/>
      <w:kern w:val="0"/>
      <w:sz w:val="24"/>
      <w:szCs w:val="24"/>
    </w:rPr>
  </w:style>
  <w:style w:type="paragraph" w:customStyle="1" w:styleId="63">
    <w:name w:val="xl90"/>
    <w:basedOn w:val="1"/>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pPr>
    <w:rPr>
      <w:rFonts w:eastAsia="宋体"/>
      <w:b/>
      <w:bCs/>
      <w:kern w:val="0"/>
      <w:sz w:val="24"/>
      <w:szCs w:val="24"/>
    </w:rPr>
  </w:style>
  <w:style w:type="paragraph" w:customStyle="1" w:styleId="64">
    <w:name w:val="xl91"/>
    <w:basedOn w:val="1"/>
    <w:qFormat/>
    <w:uiPriority w:val="0"/>
    <w:pPr>
      <w:widowControl/>
      <w:pBdr>
        <w:bottom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65">
    <w:name w:val="xl92"/>
    <w:basedOn w:val="1"/>
    <w:uiPriority w:val="0"/>
    <w:pPr>
      <w:widowControl/>
      <w:pBdr>
        <w:right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66">
    <w:name w:val="xl93"/>
    <w:basedOn w:val="1"/>
    <w:qFormat/>
    <w:uiPriority w:val="0"/>
    <w:pPr>
      <w:widowControl/>
      <w:pBdr>
        <w:left w:val="single" w:color="auto" w:sz="8" w:space="0"/>
      </w:pBdr>
      <w:spacing w:before="100" w:beforeAutospacing="1" w:after="100" w:afterAutospacing="1" w:line="240" w:lineRule="auto"/>
      <w:jc w:val="center"/>
    </w:pPr>
    <w:rPr>
      <w:rFonts w:ascii="仿宋_GB2312" w:hAnsi="宋体" w:cs="宋体"/>
      <w:kern w:val="0"/>
      <w:sz w:val="24"/>
      <w:szCs w:val="24"/>
    </w:rPr>
  </w:style>
  <w:style w:type="paragraph" w:customStyle="1" w:styleId="67">
    <w:name w:val="xl94"/>
    <w:basedOn w:val="1"/>
    <w:qFormat/>
    <w:uiPriority w:val="0"/>
    <w:pPr>
      <w:widowControl/>
      <w:pBdr>
        <w:left w:val="single" w:color="auto" w:sz="8" w:space="0"/>
        <w:right w:val="single" w:color="auto" w:sz="8" w:space="0"/>
      </w:pBdr>
      <w:spacing w:before="100" w:beforeAutospacing="1" w:after="100" w:afterAutospacing="1" w:line="240" w:lineRule="auto"/>
      <w:jc w:val="center"/>
    </w:pPr>
    <w:rPr>
      <w:rFonts w:ascii="仿宋_GB2312"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D7291-BA7D-4391-B38F-C1B6C28FAB75}">
  <ds:schemaRefs/>
</ds:datastoreItem>
</file>

<file path=docProps/app.xml><?xml version="1.0" encoding="utf-8"?>
<Properties xmlns="http://schemas.openxmlformats.org/officeDocument/2006/extended-properties" xmlns:vt="http://schemas.openxmlformats.org/officeDocument/2006/docPropsVTypes">
  <Template>Normal</Template>
  <Pages>1</Pages>
  <Words>1851</Words>
  <Characters>10555</Characters>
  <Lines>87</Lines>
  <Paragraphs>24</Paragraphs>
  <TotalTime>1766</TotalTime>
  <ScaleCrop>false</ScaleCrop>
  <LinksUpToDate>false</LinksUpToDate>
  <CharactersWithSpaces>12382</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2017-09-29T11:29:00Z</dcterms:created>
  <dc:creator>user</dc:creator>
  <cp:lastModifiedBy>lenovo</cp:lastModifiedBy>
  <cp:lastPrinted>2017-10-11T01:26:00Z</cp:lastPrinted>
  <dcterms:modified xsi:type="dcterms:W3CDTF">2019-04-15T08:35:39Z</dcterms:modified>
  <dc:title>财政项目支出绩效评价报告</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