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灌云县</w:t>
      </w:r>
      <w:r>
        <w:rPr>
          <w:rFonts w:hint="eastAsia" w:ascii="黑体" w:hAnsi="黑体" w:eastAsia="黑体"/>
          <w:sz w:val="32"/>
          <w:szCs w:val="32"/>
        </w:rPr>
        <w:t>“清废行动2</w:t>
      </w:r>
      <w:r>
        <w:rPr>
          <w:rFonts w:ascii="黑体" w:hAnsi="黑体" w:eastAsia="黑体"/>
          <w:sz w:val="32"/>
          <w:szCs w:val="32"/>
        </w:rPr>
        <w:t>019</w:t>
      </w:r>
      <w:r>
        <w:rPr>
          <w:rFonts w:hint="eastAsia" w:ascii="黑体" w:hAnsi="黑体" w:eastAsia="黑体"/>
          <w:sz w:val="32"/>
          <w:szCs w:val="32"/>
        </w:rPr>
        <w:t>”非问题点位基本信息公开表</w:t>
      </w:r>
    </w:p>
    <w:tbl>
      <w:tblPr>
        <w:tblStyle w:val="7"/>
        <w:tblW w:w="14158" w:type="dxa"/>
        <w:tblInd w:w="-1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98"/>
        <w:gridCol w:w="1985"/>
        <w:gridCol w:w="2294"/>
        <w:gridCol w:w="7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5977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基本信息</w:t>
            </w:r>
          </w:p>
        </w:tc>
        <w:tc>
          <w:tcPr>
            <w:tcW w:w="733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现场核实情况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问题来源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坐标</w:t>
            </w:r>
          </w:p>
        </w:tc>
        <w:tc>
          <w:tcPr>
            <w:tcW w:w="22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详细地址</w:t>
            </w:r>
          </w:p>
        </w:tc>
        <w:tc>
          <w:tcPr>
            <w:tcW w:w="733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1</w:t>
            </w:r>
            <w:r>
              <w:rPr>
                <w:rFonts w:ascii="仿宋_GB2312" w:hAnsi="黑体" w:eastAsia="仿宋_GB2312"/>
                <w:sz w:val="22"/>
                <w:szCs w:val="22"/>
              </w:rPr>
              <w:t>.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20.19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20.92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五图河农场境内码头</w:t>
            </w: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该点位是运输码头，占地面积约1000平方米，无生产加工设施，场地物料堆放面积约30平方米，堆放石子、黄砂、钢渣等共约30吨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现场堆放的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物料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已清理完毕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29.93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19.11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灌云县圩丰泉头砂石转运站</w:t>
            </w: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该点位是水泥砖制售场所，场地物料堆放面积约80平方米，堆放砂石等共约100吨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已采取全覆盖措施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58.53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21.63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灌云县下车镇大兴村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灌云县大兴沟新型建材厂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该点位是水泥砖制售场所，场地物料堆放面积约300平方米，堆放砂石、粉煤灰等共约300吨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已建成物料仓库，砂石、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粉煤灰等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原料已堆放在物料仓库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5.15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21.38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_GB2312" w:hAnsi="黑体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灌云县下车镇大兴村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连云港华伦建材有限公司</w:t>
            </w: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该点位是混凝土搅拌站，场地物料堆放面积约500平方米，堆放砂石等共约1500吨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混凝土搅拌站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已拆除并采取全覆盖到位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26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26.65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58.5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灌云县杨集镇原连云港市欣森木业有限公司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该点位是连镇高铁配套水洗石子项目石子水洗场所，场地物料堆放面积约300平方米，堆放石子约200吨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现场堆放的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物料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已清理完毕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14.98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51.42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南岗乡高李庄村</w:t>
            </w: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该点位是原为夏兴贵砂石堆放场所已关闭，还有1.5吨余料，堆放面积约5平方米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现场堆放的砂石已清理完毕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。</w:t>
            </w:r>
          </w:p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844" w:type="dxa"/>
            <w:vAlign w:val="center"/>
          </w:tcPr>
          <w:p>
            <w:pPr>
              <w:jc w:val="center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卫星遥感</w:t>
            </w:r>
          </w:p>
          <w:p>
            <w:pPr>
              <w:jc w:val="center"/>
              <w:rPr>
                <w:rFonts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信访举报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</w:rPr>
              <w:t>2</w:t>
            </w:r>
            <w:r>
              <w:rPr>
                <w:rFonts w:ascii="仿宋_GB2312" w:hAnsi="黑体" w:eastAsia="仿宋_GB2312"/>
                <w:sz w:val="22"/>
                <w:szCs w:val="22"/>
              </w:rPr>
              <w:t>018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年排查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响水县转交5139点位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jc w:val="left"/>
              <w:rPr>
                <w:rFonts w:hint="default" w:ascii="仿宋_GB2312" w:hAnsi="黑体" w:eastAsia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119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19.13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3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°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27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′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53.78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  <w:t>″</w:t>
            </w:r>
          </w:p>
        </w:tc>
        <w:tc>
          <w:tcPr>
            <w:tcW w:w="2294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灌云县临港产业区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连云港海聚新材料科技有限公司</w:t>
            </w:r>
          </w:p>
        </w:tc>
        <w:tc>
          <w:tcPr>
            <w:tcW w:w="7337" w:type="dxa"/>
            <w:vAlign w:val="center"/>
          </w:tcPr>
          <w:p>
            <w:pPr>
              <w:jc w:val="left"/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已倒闭，该点位为</w:t>
            </w:r>
            <w:r>
              <w:rPr>
                <w:rFonts w:hint="eastAsia" w:ascii="仿宋_GB2312" w:hAnsi="黑体" w:eastAsia="仿宋_GB2312"/>
                <w:sz w:val="22"/>
                <w:szCs w:val="22"/>
              </w:rPr>
              <w:t>原企业所在现场堆放面积约50平方米，堆放原料钢渣约3吨，无固体废物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仿宋_GB2312" w:hAnsi="黑体" w:eastAsia="仿宋_GB2312"/>
                <w:sz w:val="22"/>
                <w:szCs w:val="22"/>
                <w:lang w:val="en-US" w:eastAsia="zh-CN"/>
              </w:rPr>
              <w:t>现场堆放的废钢渣已清理完毕</w:t>
            </w:r>
            <w:r>
              <w:rPr>
                <w:rFonts w:hint="eastAsia" w:ascii="仿宋_GB2312" w:hAnsi="黑体" w:eastAsia="仿宋_GB2312"/>
                <w:sz w:val="22"/>
                <w:szCs w:val="22"/>
                <w:lang w:eastAsia="zh-CN"/>
              </w:rPr>
              <w:t>。</w:t>
            </w:r>
          </w:p>
        </w:tc>
      </w:tr>
    </w:tbl>
    <w:p>
      <w:pPr>
        <w:rPr>
          <w:rFonts w:ascii="黑体" w:hAnsi="黑体" w:eastAsia="黑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364FC"/>
    <w:multiLevelType w:val="multilevel"/>
    <w:tmpl w:val="48A364FC"/>
    <w:lvl w:ilvl="0" w:tentative="0">
      <w:start w:val="1"/>
      <w:numFmt w:val="decimal"/>
      <w:pStyle w:val="2"/>
      <w:suff w:val="space"/>
      <w:lvlText w:val="第%1章"/>
      <w:lvlJc w:val="left"/>
      <w:pPr>
        <w:ind w:left="0" w:firstLine="0"/>
      </w:pPr>
      <w:rPr>
        <w:rFonts w:hint="default" w:ascii="Times New Roman" w:hAnsi="Times New Roman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83797"/>
    <w:rsid w:val="00260045"/>
    <w:rsid w:val="0026730E"/>
    <w:rsid w:val="00311312"/>
    <w:rsid w:val="00375143"/>
    <w:rsid w:val="00437E27"/>
    <w:rsid w:val="00593FC1"/>
    <w:rsid w:val="005F591D"/>
    <w:rsid w:val="00604A67"/>
    <w:rsid w:val="0067220A"/>
    <w:rsid w:val="00675BA6"/>
    <w:rsid w:val="007241D3"/>
    <w:rsid w:val="007B5C50"/>
    <w:rsid w:val="007B6DE6"/>
    <w:rsid w:val="007E3538"/>
    <w:rsid w:val="0095505D"/>
    <w:rsid w:val="00A332EF"/>
    <w:rsid w:val="00BB28EB"/>
    <w:rsid w:val="00C826BC"/>
    <w:rsid w:val="00CE25E8"/>
    <w:rsid w:val="00D80ABA"/>
    <w:rsid w:val="00E34420"/>
    <w:rsid w:val="00E62FAD"/>
    <w:rsid w:val="00F37994"/>
    <w:rsid w:val="00F83797"/>
    <w:rsid w:val="09912D6B"/>
    <w:rsid w:val="13B91F2B"/>
    <w:rsid w:val="14EA6599"/>
    <w:rsid w:val="29004FAA"/>
    <w:rsid w:val="38004E94"/>
    <w:rsid w:val="3D300177"/>
    <w:rsid w:val="59120478"/>
    <w:rsid w:val="5ABF4FC8"/>
    <w:rsid w:val="5E4C716D"/>
    <w:rsid w:val="63314C16"/>
    <w:rsid w:val="738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numPr>
        <w:ilvl w:val="0"/>
        <w:numId w:val="1"/>
      </w:numPr>
      <w:tabs>
        <w:tab w:val="left" w:pos="750"/>
      </w:tabs>
      <w:spacing w:beforeLines="100" w:afterLines="100"/>
      <w:jc w:val="center"/>
      <w:outlineLvl w:val="0"/>
    </w:pPr>
    <w:rPr>
      <w:rFonts w:asciiTheme="minorEastAsia" w:hAnsiTheme="minorEastAsia"/>
      <w:b/>
      <w:color w:val="000000"/>
      <w:sz w:val="32"/>
      <w:szCs w:val="32"/>
    </w:rPr>
  </w:style>
  <w:style w:type="paragraph" w:styleId="3">
    <w:name w:val="heading 2"/>
    <w:basedOn w:val="1"/>
    <w:next w:val="1"/>
    <w:link w:val="9"/>
    <w:unhideWhenUsed/>
    <w:qFormat/>
    <w:uiPriority w:val="9"/>
    <w:pPr>
      <w:numPr>
        <w:ilvl w:val="1"/>
        <w:numId w:val="1"/>
      </w:numPr>
      <w:tabs>
        <w:tab w:val="left" w:pos="750"/>
      </w:tabs>
      <w:spacing w:beforeLines="50" w:afterLines="50" w:line="360" w:lineRule="auto"/>
      <w:outlineLvl w:val="1"/>
    </w:pPr>
    <w:rPr>
      <w:rFonts w:ascii="Times New Roman" w:hAnsi="Times New Roman" w:eastAsia="宋体"/>
      <w:b/>
      <w:color w:val="000000"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numPr>
        <w:ilvl w:val="2"/>
        <w:numId w:val="1"/>
      </w:numPr>
      <w:tabs>
        <w:tab w:val="left" w:pos="750"/>
      </w:tabs>
      <w:spacing w:beforeLines="20" w:afterLines="20" w:line="360" w:lineRule="auto"/>
      <w:outlineLvl w:val="2"/>
    </w:pPr>
    <w:rPr>
      <w:rFonts w:ascii="Times New Roman" w:hAnsi="Times New Roman" w:eastAsia="宋体"/>
      <w:b/>
      <w:color w:val="000000"/>
      <w:sz w:val="24"/>
    </w:rPr>
  </w:style>
  <w:style w:type="paragraph" w:styleId="5">
    <w:name w:val="heading 4"/>
    <w:basedOn w:val="1"/>
    <w:next w:val="1"/>
    <w:link w:val="16"/>
    <w:semiHidden/>
    <w:unhideWhenUsed/>
    <w:qFormat/>
    <w:uiPriority w:val="9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8"/>
    <w:link w:val="3"/>
    <w:qFormat/>
    <w:uiPriority w:val="9"/>
    <w:rPr>
      <w:rFonts w:ascii="Times New Roman" w:hAnsi="Times New Roman" w:eastAsia="宋体"/>
      <w:b/>
      <w:color w:val="000000"/>
      <w:sz w:val="28"/>
      <w:szCs w:val="28"/>
    </w:rPr>
  </w:style>
  <w:style w:type="character" w:customStyle="1" w:styleId="10">
    <w:name w:val="@他1"/>
    <w:basedOn w:val="8"/>
    <w:semiHidden/>
    <w:unhideWhenUsed/>
    <w:qFormat/>
    <w:uiPriority w:val="99"/>
    <w:rPr>
      <w:color w:val="2B579A"/>
      <w:shd w:val="clear" w:color="auto" w:fill="E6E6E6"/>
    </w:rPr>
  </w:style>
  <w:style w:type="paragraph" w:customStyle="1" w:styleId="11">
    <w:name w:val="MTDisplayEquation"/>
    <w:basedOn w:val="1"/>
    <w:next w:val="1"/>
    <w:link w:val="12"/>
    <w:qFormat/>
    <w:uiPriority w:val="0"/>
    <w:pPr>
      <w:tabs>
        <w:tab w:val="center" w:pos="4400"/>
        <w:tab w:val="right" w:pos="8780"/>
      </w:tabs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12">
    <w:name w:val="MTDisplayEquation 字符"/>
    <w:basedOn w:val="8"/>
    <w:link w:val="11"/>
    <w:qFormat/>
    <w:uiPriority w:val="0"/>
    <w:rPr>
      <w:rFonts w:ascii="Times New Roman" w:hAnsi="Times New Roman" w:eastAsia="宋体"/>
      <w:sz w:val="24"/>
    </w:rPr>
  </w:style>
  <w:style w:type="character" w:customStyle="1" w:styleId="13">
    <w:name w:val="标题 1 Char"/>
    <w:basedOn w:val="8"/>
    <w:link w:val="2"/>
    <w:qFormat/>
    <w:uiPriority w:val="9"/>
    <w:rPr>
      <w:rFonts w:asciiTheme="minorEastAsia" w:hAnsiTheme="minorEastAsia"/>
      <w:b/>
      <w:color w:val="000000"/>
      <w:sz w:val="32"/>
      <w:szCs w:val="32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kern w:val="0"/>
    </w:rPr>
  </w:style>
  <w:style w:type="character" w:customStyle="1" w:styleId="15">
    <w:name w:val="标题 3 Char"/>
    <w:basedOn w:val="8"/>
    <w:link w:val="4"/>
    <w:qFormat/>
    <w:uiPriority w:val="9"/>
    <w:rPr>
      <w:rFonts w:ascii="Times New Roman" w:hAnsi="Times New Roman" w:eastAsia="宋体"/>
      <w:b/>
      <w:color w:val="000000"/>
      <w:sz w:val="24"/>
    </w:rPr>
  </w:style>
  <w:style w:type="character" w:customStyle="1" w:styleId="16">
    <w:name w:val="标题 4 Char"/>
    <w:basedOn w:val="8"/>
    <w:link w:val="5"/>
    <w:semiHidden/>
    <w:qFormat/>
    <w:uiPriority w:val="9"/>
    <w:rPr>
      <w:rFonts w:ascii="Times New Roman" w:hAnsi="Times New Roman" w:eastAsia="宋体" w:cstheme="majorBidi"/>
      <w:bCs/>
      <w:sz w:val="24"/>
      <w:szCs w:val="28"/>
    </w:rPr>
  </w:style>
  <w:style w:type="paragraph" w:customStyle="1" w:styleId="17">
    <w:name w:val="参考文献"/>
    <w:basedOn w:val="1"/>
    <w:link w:val="18"/>
    <w:qFormat/>
    <w:uiPriority w:val="0"/>
    <w:pPr>
      <w:spacing w:afterLines="50" w:line="360" w:lineRule="auto"/>
      <w:ind w:left="420" w:hanging="420" w:hangingChars="200"/>
    </w:pPr>
    <w:rPr>
      <w:rFonts w:ascii="Times New Roman" w:hAnsi="Times New Roman"/>
      <w:bCs/>
    </w:rPr>
  </w:style>
  <w:style w:type="character" w:customStyle="1" w:styleId="18">
    <w:name w:val="参考文献 字符"/>
    <w:basedOn w:val="8"/>
    <w:link w:val="17"/>
    <w:qFormat/>
    <w:uiPriority w:val="0"/>
    <w:rPr>
      <w:rFonts w:ascii="Times New Roman" w:hAnsi="Times New Roman"/>
      <w:bCs/>
    </w:rPr>
  </w:style>
  <w:style w:type="paragraph" w:customStyle="1" w:styleId="19">
    <w:name w:val="论文正文"/>
    <w:basedOn w:val="1"/>
    <w:link w:val="20"/>
    <w:qFormat/>
    <w:uiPriority w:val="0"/>
    <w:pPr>
      <w:spacing w:line="360" w:lineRule="auto"/>
      <w:ind w:firstLine="480" w:firstLineChars="200"/>
    </w:pPr>
    <w:rPr>
      <w:rFonts w:ascii="Times New Roman" w:hAnsi="Times New Roman" w:eastAsia="宋体"/>
      <w:sz w:val="24"/>
    </w:rPr>
  </w:style>
  <w:style w:type="character" w:customStyle="1" w:styleId="20">
    <w:name w:val="论文正文 字符"/>
    <w:basedOn w:val="8"/>
    <w:link w:val="19"/>
    <w:qFormat/>
    <w:uiPriority w:val="0"/>
    <w:rPr>
      <w:rFonts w:ascii="Times New Roman" w:hAnsi="Times New Roman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2019-07-22T08:05:00Z</dcterms:created>
  <dc:creator>SHAO Xiang</dc:creator>
  <cp:lastModifiedBy>點煙、燃寂寞</cp:lastModifiedBy>
  <cp:lastPrinted>2019-08-16T07:02:00Z</cp:lastPrinted>
  <dcterms:modified xsi:type="dcterms:W3CDTF">2019-08-16T07:20:20Z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