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 w:cs="宋体"/>
          <w:kern w:val="0"/>
          <w:sz w:val="32"/>
          <w:szCs w:val="32"/>
        </w:rPr>
        <w:t>1</w:t>
      </w:r>
      <w:bookmarkStart w:id="0" w:name="_GoBack"/>
      <w:bookmarkEnd w:id="0"/>
    </w:p>
    <w:p>
      <w:pPr>
        <w:widowControl/>
        <w:tabs>
          <w:tab w:val="left" w:pos="6570"/>
        </w:tabs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6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灌云县县级财政支出事前绩效评估基本信息表</w:t>
      </w:r>
    </w:p>
    <w:tbl>
      <w:tblPr>
        <w:tblStyle w:val="4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831"/>
        <w:gridCol w:w="4"/>
        <w:gridCol w:w="1675"/>
        <w:gridCol w:w="253"/>
        <w:gridCol w:w="1108"/>
        <w:gridCol w:w="139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预算部门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7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新设立□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执行期满申请继续安排□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支持政策（方向）发生重大变化□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转移支付□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预期完成时间</w:t>
            </w:r>
          </w:p>
        </w:tc>
        <w:tc>
          <w:tcPr>
            <w:tcW w:w="3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预算资金总额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国有资本经营收入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社保基金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上年结转和结余资金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立项必要性</w:t>
            </w:r>
          </w:p>
        </w:tc>
        <w:tc>
          <w:tcPr>
            <w:tcW w:w="7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1.项目设立的背景、依据、现实需求；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2.与其他项目是否重复。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项目实施内容</w:t>
            </w:r>
          </w:p>
        </w:tc>
        <w:tc>
          <w:tcPr>
            <w:tcW w:w="7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按项目资金用途分别说明支持的对象、范围，资金投入方式、标准等。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7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1.项目实施计划，包括实施主体、实施条件、实施期限、进度安排等；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2.对风险和不确定因素的应对措施。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总目标</w:t>
            </w:r>
          </w:p>
        </w:tc>
        <w:tc>
          <w:tcPr>
            <w:tcW w:w="7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</w:t>
            </w: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社会成本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生态环境成本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可持续发展影响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其他相关群体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备注：年度项目不需要填写总目标。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>
      <w:pPr>
        <w:widowControl/>
        <w:spacing w:line="560" w:lineRule="exact"/>
        <w:rPr>
          <w:rFonts w:hint="eastAsia" w:ascii="Times New Roman" w:hAnsi="Times New Roman" w:eastAsia="黑体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657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6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灌云县县级财政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支出事前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绩效评估工作方案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" w:hAnsi="楷体" w:eastAsia="楷体" w:cs="楷体"/>
          <w:sz w:val="30"/>
          <w:szCs w:val="30"/>
        </w:rPr>
        <w:t>（参考文本）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（一）项目概况。包括项目立项背景、依据、实施内容、预算资金等。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（二）项目实施计划。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二、评估目的和原则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三、评估内容、标准和方式方法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四、评估工作计划。包括评估工作组人员及分工、时间进度、保障措施等。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Times New Roman" w:hAnsi="Times New Roman" w:eastAsia="黑体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657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灌云县县级财政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支出事前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绩效评估报告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Chars="0"/>
        <w:jc w:val="center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Chars="0"/>
        <w:jc w:val="center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（参考文本）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Chars="0"/>
        <w:jc w:val="center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（一）项目概况。包括项目立项背景、依据、实施内容、预算资金等。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（二）项目实施计划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二、评估工作情况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（一）评估目的和原则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（二）评估内容、标准和方式方法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（三）评估工作过程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三、评估分析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（一）立项必要性分析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（二）投入经济性分析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（三）绩效目标合理性分析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（四）实施方案可行性分析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（五）筹资合规性分析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四、评估结果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（一）评估意见及等级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灌云县县级财政支出事前绩效评估表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2证明材料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spacing w:line="560" w:lineRule="exact"/>
        <w:rPr>
          <w:rFonts w:hint="eastAsia" w:ascii="Times New Roman" w:hAnsi="Times New Roman" w:eastAsia="黑体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4</w:t>
      </w:r>
    </w:p>
    <w:p>
      <w:pPr>
        <w:widowControl/>
        <w:tabs>
          <w:tab w:val="left" w:pos="6570"/>
        </w:tabs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6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灌云县县级财政支出事前绩效评估表</w:t>
      </w:r>
    </w:p>
    <w:tbl>
      <w:tblPr>
        <w:tblStyle w:val="4"/>
        <w:tblW w:w="9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6487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评估实施单位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评估内容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评估标准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立项必要性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1.项目设立是否依据充分、需求迫切，与宏观政策和部门职责衔接紧密，且属于县级财政事权。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2.是否与其他项目交叉重复；能否通过与其他项目整合、改善行政管理、市场化运作等方式实现目标。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投入经济性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1.项目项目支持的对象、范围、方式、标准等是否合理。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2.能否从整体上节约财政资金。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合理性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1.项目绩效目标是否经过调查研究和科学论证，符合客观实际和发展规律，预期可实现。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2.绩效指标和指标值是否规范科学，相关数据是否便于获取。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1.项目实施方案是否经过规范的可行性论证，具备实施条件。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2.是否制定防范项目实施风险和不确定因素的应对措施。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筹资合规性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1.项目筹资行为是否符合预算法及实施条例等相关规定。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2.资金来源是否合法合规，真实可靠。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综合评估等级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综合评估意见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备注：综合评估等级不能高于立项必要性和实施方案可行性评估等级。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>
      <w:pPr>
        <w:widowControl/>
        <w:spacing w:line="560" w:lineRule="exact"/>
        <w:rPr>
          <w:rFonts w:hint="eastAsia" w:ascii="Times New Roman" w:hAnsi="Times New Roman" w:eastAsia="黑体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5</w:t>
      </w:r>
    </w:p>
    <w:p>
      <w:pPr>
        <w:widowControl/>
        <w:tabs>
          <w:tab w:val="left" w:pos="6570"/>
        </w:tabs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6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灌云县县级财政支出事前绩效评估结果审核表</w:t>
      </w: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118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审核内容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预算部门审核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县财政局审核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4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材料是否齐全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  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4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内容是否完整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  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4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程序是否规范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  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9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评估结果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  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 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预算部门审核意见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县财政局审核意见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备注：经审核确定评估结果为“一般”和“差”的项目，审核部门应提出具体审核意见。</w:t>
      </w:r>
    </w:p>
    <w:sectPr>
      <w:footerReference r:id="rId3" w:type="default"/>
      <w:footerReference r:id="rId4" w:type="even"/>
      <w:pgSz w:w="11906" w:h="16838"/>
      <w:pgMar w:top="1701" w:right="1474" w:bottom="1474" w:left="1587" w:header="851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E4D608-98EB-48DD-A15B-3A5740C36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24E791E-A482-4729-9E46-7801832132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EC69A9-95E8-4F8A-A88A-6EC4D49E5D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480C32-7874-452B-A9F0-E9CEECD5AA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62B1F3-2877-4751-BF9A-0AB57B8C5B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color w:val="FFFFFF"/>
        <w:sz w:val="28"/>
        <w:szCs w:val="28"/>
      </w:rPr>
    </w:pPr>
    <w:r>
      <w:rPr>
        <w:rStyle w:val="6"/>
        <w:rFonts w:ascii="Times New Roman" w:hAnsi="Times New Roman"/>
        <w:color w:val="FFFFFF"/>
        <w:sz w:val="28"/>
        <w:szCs w:val="28"/>
      </w:rPr>
      <w:t>—</w:t>
    </w: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3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  <w:r>
      <w:rPr>
        <w:rStyle w:val="6"/>
        <w:rFonts w:ascii="Times New Roman" w:hAnsi="Times New Roman"/>
        <w:color w:val="FFFFFF"/>
        <w:sz w:val="28"/>
        <w:szCs w:val="28"/>
      </w:rPr>
      <w:t>—</w:t>
    </w:r>
  </w:p>
  <w:p>
    <w:pPr>
      <w:pStyle w:val="2"/>
      <w:adjustRightInd w:val="0"/>
      <w:ind w:right="360" w:firstLine="36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第二章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NmI0Nzg5ZTZmODZhZDQyYThjMjliNTAyNDkwZjgifQ=="/>
  </w:docVars>
  <w:rsids>
    <w:rsidRoot w:val="426562E0"/>
    <w:rsid w:val="426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2023-02-23T11:08:00Z</dcterms:created>
  <dc:creator>WPS_1625488684</dc:creator>
  <cp:lastModifiedBy>WPS_1625488684</cp:lastModifiedBy>
  <dcterms:modified xsi:type="dcterms:W3CDTF">2023-02-23T11:25:57Z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BD1C6C632CDD4EE7A96FD6837EF01B34</vt:lpwstr>
  </property>
</Properties>
</file>