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color w:val="333333"/>
          <w:szCs w:val="21"/>
        </w:rPr>
      </w:pPr>
    </w:p>
    <w:p>
      <w:pPr>
        <w:spacing w:line="480" w:lineRule="auto"/>
        <w:jc w:val="center"/>
        <w:rPr>
          <w:color w:val="333333"/>
          <w:szCs w:val="21"/>
        </w:rPr>
      </w:pPr>
    </w:p>
    <w:p>
      <w:pPr>
        <w:spacing w:line="480" w:lineRule="auto"/>
        <w:jc w:val="center"/>
        <w:rPr>
          <w:color w:val="333333"/>
          <w:szCs w:val="21"/>
        </w:rPr>
      </w:pPr>
    </w:p>
    <w:p>
      <w:pPr>
        <w:spacing w:line="480" w:lineRule="auto"/>
        <w:jc w:val="center"/>
        <w:rPr>
          <w:color w:val="333333"/>
          <w:szCs w:val="21"/>
        </w:rPr>
      </w:pPr>
    </w:p>
    <w:p>
      <w:pPr>
        <w:spacing w:line="480" w:lineRule="auto"/>
        <w:jc w:val="center"/>
        <w:rPr>
          <w:color w:val="333333"/>
          <w:szCs w:val="21"/>
        </w:rPr>
      </w:pPr>
    </w:p>
    <w:p>
      <w:pPr>
        <w:spacing w:line="600" w:lineRule="exact"/>
        <w:jc w:val="center"/>
        <w:rPr>
          <w:rFonts w:hint="eastAsia" w:ascii="Calibri" w:hAnsi="Calibri" w:eastAsia="方正小标宋_GBK" w:cs="Times New Roman"/>
          <w:bCs/>
          <w:sz w:val="44"/>
          <w:szCs w:val="44"/>
          <w:lang w:val="zh-TW"/>
        </w:rPr>
      </w:pPr>
      <w:r>
        <w:rPr>
          <w:rFonts w:hint="eastAsia" w:ascii="Calibri" w:hAnsi="Calibri" w:eastAsia="方正小标宋_GBK" w:cs="Times New Roman"/>
          <w:bCs/>
          <w:sz w:val="44"/>
          <w:szCs w:val="44"/>
          <w:lang w:val="zh-TW"/>
        </w:rPr>
        <w:t>灌云县2019年度</w:t>
      </w:r>
      <w:r>
        <w:rPr>
          <w:rFonts w:hint="eastAsia" w:ascii="Calibri" w:hAnsi="Calibri" w:eastAsia="方正小标宋_GBK" w:cs="Times New Roman"/>
          <w:bCs/>
          <w:sz w:val="44"/>
          <w:szCs w:val="44"/>
          <w:lang w:val="zh-TW" w:eastAsia="zh-TW"/>
        </w:rPr>
        <w:t>黑臭河</w:t>
      </w:r>
      <w:r>
        <w:rPr>
          <w:rFonts w:hint="eastAsia" w:ascii="Calibri" w:hAnsi="Calibri" w:eastAsia="方正小标宋_GBK" w:cs="Times New Roman"/>
          <w:bCs/>
          <w:sz w:val="44"/>
          <w:szCs w:val="44"/>
          <w:lang w:val="zh-TW"/>
        </w:rPr>
        <w:t>道</w:t>
      </w:r>
      <w:bookmarkStart w:id="72" w:name="_GoBack"/>
      <w:bookmarkEnd w:id="72"/>
      <w:r>
        <w:rPr>
          <w:rFonts w:hint="eastAsia" w:ascii="Calibri" w:hAnsi="Calibri" w:eastAsia="方正小标宋_GBK" w:cs="Times New Roman"/>
          <w:bCs/>
          <w:sz w:val="44"/>
          <w:szCs w:val="44"/>
          <w:lang w:val="zh-TW"/>
        </w:rPr>
        <w:t>整治</w:t>
      </w:r>
    </w:p>
    <w:p>
      <w:pPr>
        <w:spacing w:line="600" w:lineRule="exact"/>
        <w:jc w:val="center"/>
        <w:rPr>
          <w:rFonts w:hint="eastAsia" w:ascii="Calibri" w:hAnsi="Calibri" w:eastAsia="方正小标宋_GBK" w:cs="Times New Roman"/>
          <w:bCs/>
          <w:sz w:val="44"/>
          <w:szCs w:val="44"/>
          <w:lang w:val="zh-TW"/>
        </w:rPr>
      </w:pPr>
      <w:r>
        <w:rPr>
          <w:rFonts w:hint="eastAsia" w:ascii="Calibri" w:hAnsi="Calibri" w:eastAsia="方正小标宋_GBK" w:cs="Times New Roman"/>
          <w:bCs/>
          <w:sz w:val="44"/>
          <w:szCs w:val="44"/>
          <w:lang w:val="zh-TW"/>
        </w:rPr>
        <w:t>（树云中沟段）</w:t>
      </w:r>
      <w:r>
        <w:rPr>
          <w:rFonts w:hint="eastAsia" w:ascii="Calibri" w:hAnsi="Calibri" w:eastAsia="方正小标宋_GBK" w:cs="Times New Roman"/>
          <w:bCs/>
          <w:sz w:val="44"/>
          <w:szCs w:val="44"/>
          <w:lang w:val="zh-TW" w:eastAsia="zh-TW"/>
        </w:rPr>
        <w:t>项目绩效评价报告</w:t>
      </w:r>
    </w:p>
    <w:p>
      <w:pPr>
        <w:spacing w:line="480" w:lineRule="auto"/>
        <w:jc w:val="center"/>
        <w:rPr>
          <w:rFonts w:ascii="黑体" w:hAnsi="黑体" w:eastAsia="黑体" w:cs="黑体"/>
          <w:sz w:val="48"/>
          <w:szCs w:val="48"/>
        </w:rPr>
      </w:pPr>
      <w:r>
        <w:rPr>
          <w:rFonts w:ascii="黑体" w:hAnsi="黑体" w:eastAsia="黑体" w:cs="黑体"/>
          <w:b/>
          <w:bCs/>
          <w:sz w:val="24"/>
          <w:szCs w:val="24"/>
          <w:lang w:val="zh-TW" w:eastAsia="zh-TW"/>
        </w:rPr>
        <w:t>苏润绩【</w:t>
      </w:r>
      <w:r>
        <w:rPr>
          <w:rFonts w:ascii="黑体" w:hAnsi="黑体" w:eastAsia="黑体" w:cs="黑体"/>
          <w:b/>
          <w:bCs/>
          <w:sz w:val="24"/>
          <w:szCs w:val="24"/>
        </w:rPr>
        <w:t>202</w:t>
      </w:r>
      <w:r>
        <w:rPr>
          <w:rFonts w:hint="eastAsia" w:ascii="黑体" w:hAnsi="黑体" w:eastAsia="黑体" w:cs="黑体"/>
          <w:b/>
          <w:bCs/>
          <w:sz w:val="24"/>
          <w:szCs w:val="24"/>
          <w:lang w:val="en-US" w:eastAsia="zh-CN"/>
        </w:rPr>
        <w:t>1</w:t>
      </w:r>
      <w:r>
        <w:rPr>
          <w:rFonts w:ascii="黑体" w:hAnsi="黑体" w:eastAsia="黑体" w:cs="黑体"/>
          <w:b/>
          <w:bCs/>
          <w:sz w:val="24"/>
          <w:szCs w:val="24"/>
          <w:lang w:val="zh-TW" w:eastAsia="zh-TW"/>
        </w:rPr>
        <w:t>】</w:t>
      </w:r>
      <w:r>
        <w:rPr>
          <w:rFonts w:ascii="黑体" w:hAnsi="黑体" w:eastAsia="黑体" w:cs="黑体"/>
          <w:b/>
          <w:bCs/>
          <w:sz w:val="24"/>
          <w:szCs w:val="24"/>
        </w:rPr>
        <w:t>J</w:t>
      </w:r>
      <w:r>
        <w:rPr>
          <w:rFonts w:hint="eastAsia" w:ascii="黑体" w:hAnsi="黑体" w:eastAsia="黑体" w:cs="黑体"/>
          <w:b/>
          <w:bCs/>
          <w:sz w:val="24"/>
          <w:szCs w:val="24"/>
        </w:rPr>
        <w:t>0</w:t>
      </w:r>
      <w:r>
        <w:rPr>
          <w:rFonts w:hint="eastAsia" w:ascii="黑体" w:hAnsi="黑体" w:eastAsia="黑体" w:cs="黑体"/>
          <w:b/>
          <w:bCs/>
          <w:sz w:val="24"/>
          <w:szCs w:val="24"/>
          <w:lang w:val="en-US" w:eastAsia="zh-CN"/>
        </w:rPr>
        <w:t>020</w:t>
      </w:r>
      <w:r>
        <w:rPr>
          <w:rFonts w:ascii="黑体" w:hAnsi="黑体" w:eastAsia="黑体" w:cs="黑体"/>
          <w:b/>
          <w:bCs/>
          <w:lang w:val="zh-TW" w:eastAsia="zh-TW"/>
        </w:rPr>
        <w:t>号</w:t>
      </w:r>
    </w:p>
    <w:p>
      <w:pPr>
        <w:jc w:val="center"/>
        <w:rPr>
          <w:rStyle w:val="21"/>
          <w:rFonts w:ascii="Calibri Light" w:hAnsi="Calibri Light" w:eastAsia="Calibri Light" w:cs="Calibri Light"/>
          <w:b/>
          <w:bCs/>
          <w:sz w:val="48"/>
          <w:szCs w:val="48"/>
        </w:rPr>
      </w:pPr>
    </w:p>
    <w:p>
      <w:pPr>
        <w:rPr>
          <w:rStyle w:val="21"/>
          <w:rFonts w:ascii="Calibri Light" w:hAnsi="Calibri Light" w:cs="Calibri Light"/>
          <w:b/>
          <w:bCs/>
          <w:sz w:val="48"/>
          <w:szCs w:val="48"/>
        </w:rPr>
      </w:pPr>
    </w:p>
    <w:p>
      <w:pPr>
        <w:rPr>
          <w:rStyle w:val="21"/>
          <w:rFonts w:ascii="Calibri Light" w:hAnsi="Calibri Light" w:cs="Calibri Light"/>
          <w:b/>
          <w:bCs/>
          <w:sz w:val="48"/>
          <w:szCs w:val="48"/>
        </w:rPr>
      </w:pPr>
    </w:p>
    <w:p>
      <w:pPr>
        <w:rPr>
          <w:rStyle w:val="21"/>
          <w:rFonts w:ascii="Calibri Light" w:hAnsi="Calibri Light" w:cs="Calibri Light"/>
          <w:b/>
          <w:bCs/>
          <w:sz w:val="48"/>
          <w:szCs w:val="48"/>
        </w:rPr>
      </w:pPr>
    </w:p>
    <w:p>
      <w:pPr>
        <w:jc w:val="both"/>
        <w:rPr>
          <w:rStyle w:val="21"/>
          <w:rFonts w:ascii="Calibri Light" w:hAnsi="Calibri Light" w:cs="Calibri Light"/>
          <w:sz w:val="32"/>
          <w:szCs w:val="32"/>
        </w:rPr>
      </w:pPr>
    </w:p>
    <w:p>
      <w:pPr>
        <w:jc w:val="center"/>
        <w:rPr>
          <w:rStyle w:val="21"/>
          <w:rFonts w:ascii="Calibri Light" w:hAnsi="Calibri Light" w:cs="Calibri Light"/>
          <w:sz w:val="32"/>
          <w:szCs w:val="32"/>
        </w:rPr>
      </w:pPr>
    </w:p>
    <w:p>
      <w:pPr>
        <w:jc w:val="center"/>
        <w:rPr>
          <w:rStyle w:val="21"/>
          <w:rFonts w:ascii="Calibri Light" w:hAnsi="Calibri Light" w:cs="Calibri Light"/>
          <w:sz w:val="32"/>
          <w:szCs w:val="32"/>
        </w:rPr>
      </w:pPr>
    </w:p>
    <w:p>
      <w:pPr>
        <w:ind w:firstLine="840" w:firstLineChars="300"/>
        <w:rPr>
          <w:rFonts w:hint="eastAsia" w:ascii="方正仿宋_GBK" w:hAnsi="仿宋" w:eastAsia="方正仿宋_GBK" w:cs="宋体"/>
          <w:sz w:val="28"/>
          <w:szCs w:val="28"/>
        </w:rPr>
      </w:pPr>
      <w:r>
        <w:rPr>
          <w:rFonts w:hint="eastAsia" w:ascii="方正仿宋_GBK" w:hAnsi="仿宋" w:eastAsia="方正仿宋_GBK" w:cs="宋体"/>
          <w:sz w:val="28"/>
          <w:szCs w:val="28"/>
        </w:rPr>
        <w:t>绩效评价机构：江苏润华会计师事务所有限公司</w:t>
      </w:r>
    </w:p>
    <w:p>
      <w:pPr>
        <w:ind w:firstLine="840" w:firstLineChars="300"/>
        <w:rPr>
          <w:rFonts w:hint="eastAsia" w:ascii="方正仿宋_GBK" w:hAnsi="仿宋" w:eastAsia="方正仿宋_GBK" w:cs="宋体"/>
          <w:sz w:val="28"/>
          <w:szCs w:val="28"/>
        </w:rPr>
      </w:pPr>
      <w:r>
        <w:rPr>
          <w:rFonts w:hint="eastAsia" w:ascii="方正仿宋_GBK" w:hAnsi="仿宋" w:eastAsia="方正仿宋_GBK" w:cs="宋体"/>
          <w:sz w:val="28"/>
          <w:szCs w:val="28"/>
        </w:rPr>
        <w:t>地        址：南京市长江路99号长江贸易大楼19楼</w:t>
      </w:r>
    </w:p>
    <w:p>
      <w:pPr>
        <w:ind w:firstLine="840" w:firstLineChars="300"/>
        <w:rPr>
          <w:rFonts w:hint="eastAsia" w:ascii="方正仿宋_GBK" w:hAnsi="仿宋" w:eastAsia="方正仿宋_GBK" w:cs="宋体"/>
          <w:sz w:val="28"/>
          <w:szCs w:val="28"/>
        </w:rPr>
      </w:pPr>
      <w:r>
        <w:rPr>
          <w:rFonts w:hint="eastAsia" w:ascii="方正仿宋_GBK" w:hAnsi="仿宋" w:eastAsia="方正仿宋_GBK" w:cs="宋体"/>
          <w:sz w:val="28"/>
          <w:szCs w:val="28"/>
        </w:rPr>
        <w:t>法 定 代表人：马茂明          邮编：210005</w:t>
      </w:r>
    </w:p>
    <w:p>
      <w:pPr>
        <w:ind w:firstLine="840" w:firstLineChars="300"/>
        <w:rPr>
          <w:rFonts w:hint="eastAsia" w:ascii="方正仿宋_GBK" w:hAnsi="仿宋" w:eastAsia="方正仿宋_GBK" w:cs="宋体"/>
          <w:sz w:val="28"/>
          <w:szCs w:val="28"/>
        </w:rPr>
      </w:pPr>
      <w:r>
        <w:rPr>
          <w:rFonts w:hint="eastAsia" w:ascii="方正仿宋_GBK" w:hAnsi="仿宋" w:eastAsia="方正仿宋_GBK" w:cs="宋体"/>
          <w:sz w:val="28"/>
          <w:szCs w:val="28"/>
        </w:rPr>
        <w:t>电        话：025-84798969    传真：025-84798915</w:t>
      </w:r>
    </w:p>
    <w:p>
      <w:pPr>
        <w:ind w:firstLine="840" w:firstLineChars="300"/>
        <w:rPr>
          <w:rFonts w:hint="eastAsia"/>
          <w:sz w:val="32"/>
          <w:szCs w:val="32"/>
        </w:rPr>
      </w:pPr>
      <w:r>
        <w:rPr>
          <w:rFonts w:hint="eastAsia" w:ascii="方正仿宋_GBK" w:hAnsi="仿宋" w:eastAsia="方正仿宋_GBK" w:cs="宋体"/>
          <w:sz w:val="28"/>
          <w:szCs w:val="28"/>
        </w:rPr>
        <w:t>网        址：http://www.rhcpa.cn</w:t>
      </w:r>
    </w:p>
    <w:p>
      <w:pPr>
        <w:rPr>
          <w:rFonts w:ascii="Calibri Light" w:hAnsi="Calibri Light" w:cs="Calibri Light"/>
          <w:sz w:val="32"/>
          <w:szCs w:val="32"/>
        </w:rPr>
      </w:pPr>
    </w:p>
    <w:p>
      <w:pPr>
        <w:rPr>
          <w:rFonts w:ascii="Calibri Light" w:hAnsi="Calibri Light" w:cs="Calibri Light"/>
          <w:sz w:val="32"/>
          <w:szCs w:val="32"/>
        </w:rPr>
      </w:pPr>
    </w:p>
    <w:sdt>
      <w:sdtPr>
        <w:rPr>
          <w:rFonts w:ascii="Calibri Light" w:hAnsi="Calibri Light" w:eastAsia="Calibri Light" w:cs="Calibri Light"/>
          <w:color w:val="000000"/>
          <w:sz w:val="32"/>
          <w:szCs w:val="32"/>
          <w:u w:val="single" w:color="000000"/>
          <w:lang w:val="zh-CN"/>
        </w:rPr>
        <w:id w:val="21136921"/>
        <w:docPartObj>
          <w:docPartGallery w:val="Table of Contents"/>
          <w:docPartUnique/>
        </w:docPartObj>
      </w:sdtPr>
      <w:sdtEndPr>
        <w:rPr>
          <w:rFonts w:ascii="Calibri Light" w:hAnsi="Calibri Light" w:eastAsia="Calibri Light" w:cs="Calibri Light"/>
          <w:color w:val="000000"/>
          <w:sz w:val="32"/>
          <w:szCs w:val="32"/>
          <w:u w:val="single" w:color="000000"/>
          <w:lang w:val="en-US"/>
        </w:rPr>
      </w:sdtEndPr>
      <w:sdtContent>
        <w:p>
          <w:pPr>
            <w:jc w:val="center"/>
            <w:rPr>
              <w:rFonts w:asciiTheme="minorHAnsi" w:hAnsiTheme="minorHAnsi" w:eastAsiaTheme="minorEastAsia" w:cstheme="minorBidi"/>
              <w:kern w:val="2"/>
              <w:sz w:val="21"/>
              <w:szCs w:val="22"/>
              <w:lang w:val="en-US" w:eastAsia="zh-CN" w:bidi="ar-SA"/>
            </w:rPr>
          </w:pPr>
          <w:r>
            <w:rPr>
              <w:rFonts w:hint="eastAsia" w:ascii="方正小标宋简体" w:hAnsi="方正小标宋简体" w:eastAsia="方正小标宋简体" w:cs="方正小标宋简体"/>
              <w:b w:val="0"/>
              <w:bCs/>
              <w:sz w:val="44"/>
              <w:szCs w:val="44"/>
              <w:lang w:val="zh-CN"/>
            </w:rPr>
            <w:t>目</w:t>
          </w:r>
          <w:r>
            <w:rPr>
              <w:rFonts w:hint="eastAsia" w:ascii="方正小标宋简体" w:hAnsi="方正小标宋简体" w:eastAsia="方正小标宋简体" w:cs="方正小标宋简体"/>
              <w:b w:val="0"/>
              <w:bCs/>
              <w:sz w:val="44"/>
              <w:szCs w:val="44"/>
              <w:lang w:val="en-US" w:eastAsia="zh-CN"/>
            </w:rPr>
            <w:t xml:space="preserve">  </w:t>
          </w:r>
          <w:r>
            <w:rPr>
              <w:rFonts w:hint="eastAsia" w:ascii="方正小标宋简体" w:hAnsi="方正小标宋简体" w:eastAsia="方正小标宋简体" w:cs="方正小标宋简体"/>
              <w:b w:val="0"/>
              <w:bCs/>
              <w:sz w:val="44"/>
              <w:szCs w:val="44"/>
              <w:lang w:val="zh-CN"/>
            </w:rPr>
            <w:t>录</w:t>
          </w:r>
          <w:r>
            <w:fldChar w:fldCharType="begin"/>
          </w:r>
          <w:r>
            <w:instrText xml:space="preserve"> TOC \o "1-3" \h \z \u </w:instrText>
          </w:r>
          <w:r>
            <w:fldChar w:fldCharType="separate"/>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_Toc28182 </w:instrText>
          </w:r>
          <w:r>
            <w:rPr>
              <w:sz w:val="24"/>
              <w:szCs w:val="24"/>
            </w:rPr>
            <w:fldChar w:fldCharType="separate"/>
          </w:r>
          <w:r>
            <w:rPr>
              <w:rFonts w:hint="eastAsia" w:ascii="方正黑体_GBK" w:hAnsi="方正黑体_GBK" w:eastAsia="方正黑体_GBK" w:cs="方正黑体_GBK"/>
              <w:bCs w:val="0"/>
              <w:sz w:val="24"/>
              <w:szCs w:val="24"/>
            </w:rPr>
            <w:t>一、项目基本情况</w:t>
          </w:r>
          <w:r>
            <w:rPr>
              <w:sz w:val="24"/>
              <w:szCs w:val="24"/>
            </w:rPr>
            <w:tab/>
          </w:r>
          <w:r>
            <w:rPr>
              <w:sz w:val="24"/>
              <w:szCs w:val="24"/>
            </w:rPr>
            <w:fldChar w:fldCharType="begin"/>
          </w:r>
          <w:r>
            <w:rPr>
              <w:sz w:val="24"/>
              <w:szCs w:val="24"/>
            </w:rPr>
            <w:instrText xml:space="preserve"> PAGEREF _Toc28182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_Toc30863 </w:instrText>
          </w:r>
          <w:r>
            <w:rPr>
              <w:sz w:val="24"/>
              <w:szCs w:val="24"/>
            </w:rPr>
            <w:fldChar w:fldCharType="separate"/>
          </w:r>
          <w:r>
            <w:rPr>
              <w:rFonts w:hint="eastAsia" w:ascii="方正楷体_GBK" w:hAnsi="方正楷体_GBK" w:eastAsia="方正楷体_GBK" w:cs="方正楷体_GBK"/>
              <w:bCs w:val="0"/>
              <w:sz w:val="24"/>
              <w:szCs w:val="24"/>
            </w:rPr>
            <w:t>（一）项目背景</w:t>
          </w:r>
          <w:r>
            <w:rPr>
              <w:sz w:val="24"/>
              <w:szCs w:val="24"/>
            </w:rPr>
            <w:tab/>
          </w:r>
          <w:r>
            <w:rPr>
              <w:sz w:val="24"/>
              <w:szCs w:val="24"/>
            </w:rPr>
            <w:fldChar w:fldCharType="begin"/>
          </w:r>
          <w:r>
            <w:rPr>
              <w:sz w:val="24"/>
              <w:szCs w:val="24"/>
            </w:rPr>
            <w:instrText xml:space="preserve"> PAGEREF _Toc30863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_Toc23435 </w:instrText>
          </w:r>
          <w:r>
            <w:rPr>
              <w:sz w:val="24"/>
              <w:szCs w:val="24"/>
            </w:rPr>
            <w:fldChar w:fldCharType="separate"/>
          </w:r>
          <w:r>
            <w:rPr>
              <w:rFonts w:hint="eastAsia" w:ascii="方正楷体_GBK" w:hAnsi="方正楷体_GBK" w:eastAsia="方正楷体_GBK" w:cs="方正楷体_GBK"/>
              <w:bCs w:val="0"/>
              <w:sz w:val="24"/>
              <w:szCs w:val="24"/>
            </w:rPr>
            <w:t>（二）项目实施内容</w:t>
          </w:r>
          <w:r>
            <w:rPr>
              <w:sz w:val="24"/>
              <w:szCs w:val="24"/>
            </w:rPr>
            <w:tab/>
          </w:r>
          <w:r>
            <w:rPr>
              <w:sz w:val="24"/>
              <w:szCs w:val="24"/>
            </w:rPr>
            <w:fldChar w:fldCharType="begin"/>
          </w:r>
          <w:r>
            <w:rPr>
              <w:sz w:val="24"/>
              <w:szCs w:val="24"/>
            </w:rPr>
            <w:instrText xml:space="preserve"> PAGEREF _Toc23435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_Toc23310 </w:instrText>
          </w:r>
          <w:r>
            <w:rPr>
              <w:sz w:val="24"/>
              <w:szCs w:val="24"/>
            </w:rPr>
            <w:fldChar w:fldCharType="separate"/>
          </w:r>
          <w:r>
            <w:rPr>
              <w:rFonts w:hint="eastAsia" w:ascii="方正楷体_GBK" w:hAnsi="方正楷体_GBK" w:eastAsia="方正楷体_GBK" w:cs="方正楷体_GBK"/>
              <w:bCs w:val="0"/>
              <w:sz w:val="24"/>
              <w:szCs w:val="24"/>
            </w:rPr>
            <w:t>（三）项目资金投入及使用情况</w:t>
          </w:r>
          <w:r>
            <w:rPr>
              <w:sz w:val="24"/>
              <w:szCs w:val="24"/>
            </w:rPr>
            <w:tab/>
          </w:r>
          <w:r>
            <w:rPr>
              <w:sz w:val="24"/>
              <w:szCs w:val="24"/>
            </w:rPr>
            <w:fldChar w:fldCharType="begin"/>
          </w:r>
          <w:r>
            <w:rPr>
              <w:sz w:val="24"/>
              <w:szCs w:val="24"/>
            </w:rPr>
            <w:instrText xml:space="preserve"> PAGEREF _Toc23310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_Toc430 </w:instrText>
          </w:r>
          <w:r>
            <w:rPr>
              <w:sz w:val="24"/>
              <w:szCs w:val="24"/>
            </w:rPr>
            <w:fldChar w:fldCharType="separate"/>
          </w:r>
          <w:r>
            <w:rPr>
              <w:rFonts w:hint="eastAsia" w:ascii="方正楷体_GBK" w:hAnsi="方正楷体_GBK" w:eastAsia="方正楷体_GBK" w:cs="方正楷体_GBK"/>
              <w:bCs w:val="0"/>
              <w:sz w:val="24"/>
              <w:szCs w:val="24"/>
            </w:rPr>
            <w:t>（四）项目绩效目标</w:t>
          </w:r>
          <w:r>
            <w:rPr>
              <w:sz w:val="24"/>
              <w:szCs w:val="24"/>
            </w:rPr>
            <w:tab/>
          </w:r>
          <w:r>
            <w:rPr>
              <w:sz w:val="24"/>
              <w:szCs w:val="24"/>
            </w:rPr>
            <w:fldChar w:fldCharType="begin"/>
          </w:r>
          <w:r>
            <w:rPr>
              <w:sz w:val="24"/>
              <w:szCs w:val="24"/>
            </w:rPr>
            <w:instrText xml:space="preserve"> PAGEREF _Toc430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_Toc25326 </w:instrText>
          </w:r>
          <w:r>
            <w:rPr>
              <w:sz w:val="24"/>
              <w:szCs w:val="24"/>
            </w:rPr>
            <w:fldChar w:fldCharType="separate"/>
          </w:r>
          <w:r>
            <w:rPr>
              <w:rFonts w:hint="eastAsia" w:ascii="方正黑体_GBK" w:hAnsi="方正黑体_GBK" w:eastAsia="方正黑体_GBK" w:cs="方正黑体_GBK"/>
              <w:bCs w:val="0"/>
              <w:sz w:val="24"/>
              <w:szCs w:val="24"/>
            </w:rPr>
            <w:t>二、项目组织实施情况</w:t>
          </w:r>
          <w:r>
            <w:rPr>
              <w:sz w:val="24"/>
              <w:szCs w:val="24"/>
            </w:rPr>
            <w:tab/>
          </w:r>
          <w:r>
            <w:rPr>
              <w:sz w:val="24"/>
              <w:szCs w:val="24"/>
            </w:rPr>
            <w:fldChar w:fldCharType="begin"/>
          </w:r>
          <w:r>
            <w:rPr>
              <w:sz w:val="24"/>
              <w:szCs w:val="24"/>
            </w:rPr>
            <w:instrText xml:space="preserve"> PAGEREF _Toc25326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_Toc9020 </w:instrText>
          </w:r>
          <w:r>
            <w:rPr>
              <w:sz w:val="24"/>
              <w:szCs w:val="24"/>
            </w:rPr>
            <w:fldChar w:fldCharType="separate"/>
          </w:r>
          <w:r>
            <w:rPr>
              <w:rFonts w:hint="eastAsia" w:ascii="方正楷体_GBK" w:hAnsi="方正楷体_GBK" w:eastAsia="方正楷体_GBK" w:cs="方正楷体_GBK"/>
              <w:bCs w:val="0"/>
              <w:sz w:val="24"/>
              <w:szCs w:val="24"/>
            </w:rPr>
            <w:t>（一）项目组织情况</w:t>
          </w:r>
          <w:r>
            <w:rPr>
              <w:sz w:val="24"/>
              <w:szCs w:val="24"/>
            </w:rPr>
            <w:tab/>
          </w:r>
          <w:r>
            <w:rPr>
              <w:sz w:val="24"/>
              <w:szCs w:val="24"/>
            </w:rPr>
            <w:fldChar w:fldCharType="begin"/>
          </w:r>
          <w:r>
            <w:rPr>
              <w:sz w:val="24"/>
              <w:szCs w:val="24"/>
            </w:rPr>
            <w:instrText xml:space="preserve"> PAGEREF _Toc9020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_Toc28180 </w:instrText>
          </w:r>
          <w:r>
            <w:rPr>
              <w:sz w:val="24"/>
              <w:szCs w:val="24"/>
            </w:rPr>
            <w:fldChar w:fldCharType="separate"/>
          </w:r>
          <w:r>
            <w:rPr>
              <w:rFonts w:hint="eastAsia" w:ascii="方正楷体_GBK" w:hAnsi="方正楷体_GBK" w:eastAsia="方正楷体_GBK" w:cs="方正楷体_GBK"/>
              <w:bCs w:val="0"/>
              <w:sz w:val="24"/>
              <w:szCs w:val="24"/>
            </w:rPr>
            <w:t>（二）利益相关方</w:t>
          </w:r>
          <w:r>
            <w:rPr>
              <w:sz w:val="24"/>
              <w:szCs w:val="24"/>
            </w:rPr>
            <w:tab/>
          </w:r>
          <w:r>
            <w:rPr>
              <w:sz w:val="24"/>
              <w:szCs w:val="24"/>
            </w:rPr>
            <w:fldChar w:fldCharType="begin"/>
          </w:r>
          <w:r>
            <w:rPr>
              <w:sz w:val="24"/>
              <w:szCs w:val="24"/>
            </w:rPr>
            <w:instrText xml:space="preserve"> PAGEREF _Toc28180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_Toc8505 </w:instrText>
          </w:r>
          <w:r>
            <w:rPr>
              <w:sz w:val="24"/>
              <w:szCs w:val="24"/>
            </w:rPr>
            <w:fldChar w:fldCharType="separate"/>
          </w:r>
          <w:r>
            <w:rPr>
              <w:rFonts w:hint="eastAsia" w:ascii="方正楷体_GBK" w:hAnsi="方正楷体_GBK" w:eastAsia="方正楷体_GBK" w:cs="方正楷体_GBK"/>
              <w:bCs w:val="0"/>
              <w:sz w:val="24"/>
              <w:szCs w:val="24"/>
            </w:rPr>
            <w:t>（三）项目管理情况</w:t>
          </w:r>
          <w:r>
            <w:rPr>
              <w:sz w:val="24"/>
              <w:szCs w:val="24"/>
            </w:rPr>
            <w:tab/>
          </w:r>
          <w:r>
            <w:rPr>
              <w:sz w:val="24"/>
              <w:szCs w:val="24"/>
            </w:rPr>
            <w:fldChar w:fldCharType="begin"/>
          </w:r>
          <w:r>
            <w:rPr>
              <w:sz w:val="24"/>
              <w:szCs w:val="24"/>
            </w:rPr>
            <w:instrText xml:space="preserve"> PAGEREF _Toc8505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_Toc26611 </w:instrText>
          </w:r>
          <w:r>
            <w:rPr>
              <w:sz w:val="24"/>
              <w:szCs w:val="24"/>
            </w:rPr>
            <w:fldChar w:fldCharType="separate"/>
          </w:r>
          <w:r>
            <w:rPr>
              <w:rFonts w:hint="eastAsia" w:ascii="方正黑体_GBK" w:hAnsi="方正黑体_GBK" w:eastAsia="方正黑体_GBK" w:cs="方正黑体_GBK"/>
              <w:bCs w:val="0"/>
              <w:sz w:val="24"/>
              <w:szCs w:val="24"/>
            </w:rPr>
            <w:t>三、评价工作开展情况</w:t>
          </w:r>
          <w:r>
            <w:rPr>
              <w:sz w:val="24"/>
              <w:szCs w:val="24"/>
            </w:rPr>
            <w:tab/>
          </w:r>
          <w:r>
            <w:rPr>
              <w:sz w:val="24"/>
              <w:szCs w:val="24"/>
            </w:rPr>
            <w:fldChar w:fldCharType="begin"/>
          </w:r>
          <w:r>
            <w:rPr>
              <w:sz w:val="24"/>
              <w:szCs w:val="24"/>
            </w:rPr>
            <w:instrText xml:space="preserve"> PAGEREF _Toc26611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_Toc25017 </w:instrText>
          </w:r>
          <w:r>
            <w:rPr>
              <w:sz w:val="24"/>
              <w:szCs w:val="24"/>
            </w:rPr>
            <w:fldChar w:fldCharType="separate"/>
          </w:r>
          <w:r>
            <w:rPr>
              <w:rFonts w:hint="eastAsia" w:ascii="方正楷体_GBK" w:hAnsi="方正楷体_GBK" w:eastAsia="方正楷体_GBK" w:cs="方正楷体_GBK"/>
              <w:bCs w:val="0"/>
              <w:sz w:val="24"/>
              <w:szCs w:val="24"/>
            </w:rPr>
            <w:t>（一）绩效评价目的</w:t>
          </w:r>
          <w:r>
            <w:rPr>
              <w:sz w:val="24"/>
              <w:szCs w:val="24"/>
            </w:rPr>
            <w:tab/>
          </w:r>
          <w:r>
            <w:rPr>
              <w:sz w:val="24"/>
              <w:szCs w:val="24"/>
            </w:rPr>
            <w:fldChar w:fldCharType="begin"/>
          </w:r>
          <w:r>
            <w:rPr>
              <w:sz w:val="24"/>
              <w:szCs w:val="24"/>
            </w:rPr>
            <w:instrText xml:space="preserve"> PAGEREF _Toc25017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_Toc32565 </w:instrText>
          </w:r>
          <w:r>
            <w:rPr>
              <w:sz w:val="24"/>
              <w:szCs w:val="24"/>
            </w:rPr>
            <w:fldChar w:fldCharType="separate"/>
          </w:r>
          <w:r>
            <w:rPr>
              <w:rFonts w:hint="eastAsia" w:ascii="方正楷体_GBK" w:hAnsi="方正楷体_GBK" w:eastAsia="方正楷体_GBK" w:cs="方正楷体_GBK"/>
              <w:bCs w:val="0"/>
              <w:sz w:val="24"/>
              <w:szCs w:val="24"/>
            </w:rPr>
            <w:t>（二）绩效评价原则、评价指标体系、评价方法</w:t>
          </w:r>
          <w:r>
            <w:rPr>
              <w:sz w:val="24"/>
              <w:szCs w:val="24"/>
            </w:rPr>
            <w:tab/>
          </w:r>
          <w:r>
            <w:rPr>
              <w:sz w:val="24"/>
              <w:szCs w:val="24"/>
            </w:rPr>
            <w:fldChar w:fldCharType="begin"/>
          </w:r>
          <w:r>
            <w:rPr>
              <w:sz w:val="24"/>
              <w:szCs w:val="24"/>
            </w:rPr>
            <w:instrText xml:space="preserve"> PAGEREF _Toc32565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_Toc26690 </w:instrText>
          </w:r>
          <w:r>
            <w:rPr>
              <w:sz w:val="24"/>
              <w:szCs w:val="24"/>
            </w:rPr>
            <w:fldChar w:fldCharType="separate"/>
          </w:r>
          <w:r>
            <w:rPr>
              <w:rFonts w:hint="eastAsia" w:ascii="方正楷体_GBK" w:hAnsi="方正楷体_GBK" w:eastAsia="方正楷体_GBK" w:cs="方正楷体_GBK"/>
              <w:bCs w:val="0"/>
              <w:sz w:val="24"/>
              <w:szCs w:val="24"/>
            </w:rPr>
            <w:t>（三）绩效评价工作过程</w:t>
          </w:r>
          <w:r>
            <w:rPr>
              <w:sz w:val="24"/>
              <w:szCs w:val="24"/>
            </w:rPr>
            <w:tab/>
          </w:r>
          <w:r>
            <w:rPr>
              <w:sz w:val="24"/>
              <w:szCs w:val="24"/>
            </w:rPr>
            <w:fldChar w:fldCharType="begin"/>
          </w:r>
          <w:r>
            <w:rPr>
              <w:sz w:val="24"/>
              <w:szCs w:val="24"/>
            </w:rPr>
            <w:instrText xml:space="preserve"> PAGEREF _Toc26690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_Toc24858 </w:instrText>
          </w:r>
          <w:r>
            <w:rPr>
              <w:sz w:val="24"/>
              <w:szCs w:val="24"/>
            </w:rPr>
            <w:fldChar w:fldCharType="separate"/>
          </w:r>
          <w:r>
            <w:rPr>
              <w:rFonts w:hint="eastAsia" w:ascii="方正黑体_GBK" w:hAnsi="方正黑体_GBK" w:eastAsia="方正黑体_GBK" w:cs="方正黑体_GBK"/>
              <w:bCs w:val="0"/>
              <w:sz w:val="24"/>
              <w:szCs w:val="24"/>
            </w:rPr>
            <w:t>四、评价指标分析</w:t>
          </w:r>
          <w:r>
            <w:rPr>
              <w:sz w:val="24"/>
              <w:szCs w:val="24"/>
            </w:rPr>
            <w:tab/>
          </w:r>
          <w:r>
            <w:rPr>
              <w:sz w:val="24"/>
              <w:szCs w:val="24"/>
            </w:rPr>
            <w:fldChar w:fldCharType="begin"/>
          </w:r>
          <w:r>
            <w:rPr>
              <w:sz w:val="24"/>
              <w:szCs w:val="24"/>
            </w:rPr>
            <w:instrText xml:space="preserve"> PAGEREF _Toc24858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_Toc4435 </w:instrText>
          </w:r>
          <w:r>
            <w:rPr>
              <w:sz w:val="24"/>
              <w:szCs w:val="24"/>
            </w:rPr>
            <w:fldChar w:fldCharType="separate"/>
          </w:r>
          <w:r>
            <w:rPr>
              <w:rFonts w:hint="eastAsia" w:ascii="方正楷体_GBK" w:hAnsi="方正楷体_GBK" w:eastAsia="方正楷体_GBK" w:cs="方正楷体_GBK"/>
              <w:bCs w:val="0"/>
              <w:sz w:val="24"/>
              <w:szCs w:val="24"/>
            </w:rPr>
            <w:t>（一）项目决策</w:t>
          </w:r>
          <w:r>
            <w:rPr>
              <w:sz w:val="24"/>
              <w:szCs w:val="24"/>
            </w:rPr>
            <w:tab/>
          </w:r>
          <w:r>
            <w:rPr>
              <w:sz w:val="24"/>
              <w:szCs w:val="24"/>
            </w:rPr>
            <w:fldChar w:fldCharType="begin"/>
          </w:r>
          <w:r>
            <w:rPr>
              <w:sz w:val="24"/>
              <w:szCs w:val="24"/>
            </w:rPr>
            <w:instrText xml:space="preserve"> PAGEREF _Toc4435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_Toc8971 </w:instrText>
          </w:r>
          <w:r>
            <w:rPr>
              <w:sz w:val="24"/>
              <w:szCs w:val="24"/>
            </w:rPr>
            <w:fldChar w:fldCharType="separate"/>
          </w:r>
          <w:r>
            <w:rPr>
              <w:rFonts w:hint="eastAsia" w:ascii="方正楷体_GBK" w:hAnsi="方正楷体_GBK" w:eastAsia="方正楷体_GBK" w:cs="方正楷体_GBK"/>
              <w:bCs w:val="0"/>
              <w:sz w:val="24"/>
              <w:szCs w:val="24"/>
            </w:rPr>
            <w:t>（二）项目管理</w:t>
          </w:r>
          <w:r>
            <w:rPr>
              <w:sz w:val="24"/>
              <w:szCs w:val="24"/>
            </w:rPr>
            <w:tab/>
          </w:r>
          <w:r>
            <w:rPr>
              <w:sz w:val="24"/>
              <w:szCs w:val="24"/>
            </w:rPr>
            <w:fldChar w:fldCharType="begin"/>
          </w:r>
          <w:r>
            <w:rPr>
              <w:sz w:val="24"/>
              <w:szCs w:val="24"/>
            </w:rPr>
            <w:instrText xml:space="preserve"> PAGEREF _Toc8971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_Toc6500 </w:instrText>
          </w:r>
          <w:r>
            <w:rPr>
              <w:sz w:val="24"/>
              <w:szCs w:val="24"/>
            </w:rPr>
            <w:fldChar w:fldCharType="separate"/>
          </w:r>
          <w:r>
            <w:rPr>
              <w:rFonts w:hint="eastAsia" w:ascii="方正楷体_GBK" w:hAnsi="方正楷体_GBK" w:eastAsia="方正楷体_GBK" w:cs="方正楷体_GBK"/>
              <w:bCs w:val="0"/>
              <w:sz w:val="24"/>
              <w:szCs w:val="24"/>
            </w:rPr>
            <w:t>（三）项目产出及效益</w:t>
          </w:r>
          <w:r>
            <w:rPr>
              <w:sz w:val="24"/>
              <w:szCs w:val="24"/>
            </w:rPr>
            <w:tab/>
          </w:r>
          <w:r>
            <w:rPr>
              <w:sz w:val="24"/>
              <w:szCs w:val="24"/>
            </w:rPr>
            <w:fldChar w:fldCharType="begin"/>
          </w:r>
          <w:r>
            <w:rPr>
              <w:sz w:val="24"/>
              <w:szCs w:val="24"/>
            </w:rPr>
            <w:instrText xml:space="preserve"> PAGEREF _Toc6500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_Toc27789 </w:instrText>
          </w:r>
          <w:r>
            <w:rPr>
              <w:sz w:val="24"/>
              <w:szCs w:val="24"/>
            </w:rPr>
            <w:fldChar w:fldCharType="separate"/>
          </w:r>
          <w:r>
            <w:rPr>
              <w:rFonts w:hint="eastAsia" w:ascii="方正黑体_GBK" w:hAnsi="方正黑体_GBK" w:eastAsia="方正黑体_GBK" w:cs="方正黑体_GBK"/>
              <w:bCs w:val="0"/>
              <w:sz w:val="24"/>
              <w:szCs w:val="24"/>
              <w:lang w:val="en-US" w:eastAsia="zh-CN"/>
            </w:rPr>
            <w:t>五</w:t>
          </w:r>
          <w:r>
            <w:rPr>
              <w:rFonts w:hint="eastAsia" w:ascii="方正黑体_GBK" w:hAnsi="方正黑体_GBK" w:eastAsia="方正黑体_GBK" w:cs="方正黑体_GBK"/>
              <w:bCs w:val="0"/>
              <w:sz w:val="24"/>
              <w:szCs w:val="24"/>
            </w:rPr>
            <w:t>、评价结论</w:t>
          </w:r>
          <w:r>
            <w:rPr>
              <w:sz w:val="24"/>
              <w:szCs w:val="24"/>
            </w:rPr>
            <w:tab/>
          </w:r>
          <w:r>
            <w:rPr>
              <w:sz w:val="24"/>
              <w:szCs w:val="24"/>
            </w:rPr>
            <w:fldChar w:fldCharType="begin"/>
          </w:r>
          <w:r>
            <w:rPr>
              <w:sz w:val="24"/>
              <w:szCs w:val="24"/>
            </w:rPr>
            <w:instrText xml:space="preserve"> PAGEREF _Toc27789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_Toc23015 </w:instrText>
          </w:r>
          <w:r>
            <w:rPr>
              <w:sz w:val="24"/>
              <w:szCs w:val="24"/>
            </w:rPr>
            <w:fldChar w:fldCharType="separate"/>
          </w:r>
          <w:r>
            <w:rPr>
              <w:rFonts w:hint="eastAsia" w:ascii="方正黑体_GBK" w:hAnsi="方正黑体_GBK" w:eastAsia="方正黑体_GBK" w:cs="方正黑体_GBK"/>
              <w:bCs w:val="0"/>
              <w:sz w:val="24"/>
              <w:szCs w:val="24"/>
              <w:lang w:val="en-US" w:eastAsia="zh-CN"/>
            </w:rPr>
            <w:t>六、经验及成效</w:t>
          </w:r>
          <w:r>
            <w:rPr>
              <w:sz w:val="24"/>
              <w:szCs w:val="24"/>
            </w:rPr>
            <w:tab/>
          </w:r>
          <w:r>
            <w:rPr>
              <w:sz w:val="24"/>
              <w:szCs w:val="24"/>
            </w:rPr>
            <w:fldChar w:fldCharType="begin"/>
          </w:r>
          <w:r>
            <w:rPr>
              <w:sz w:val="24"/>
              <w:szCs w:val="24"/>
            </w:rPr>
            <w:instrText xml:space="preserve"> PAGEREF _Toc23015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_Toc31869 </w:instrText>
          </w:r>
          <w:r>
            <w:rPr>
              <w:sz w:val="24"/>
              <w:szCs w:val="24"/>
            </w:rPr>
            <w:fldChar w:fldCharType="separate"/>
          </w:r>
          <w:r>
            <w:rPr>
              <w:rFonts w:hint="eastAsia" w:ascii="方正楷体_GBK" w:hAnsi="方正楷体_GBK" w:eastAsia="方正楷体_GBK" w:cs="方正楷体_GBK"/>
              <w:bCs w:val="0"/>
              <w:sz w:val="24"/>
              <w:szCs w:val="24"/>
            </w:rPr>
            <w:t>（一）用好政府债券  保障改善民生</w:t>
          </w:r>
          <w:r>
            <w:rPr>
              <w:sz w:val="24"/>
              <w:szCs w:val="24"/>
            </w:rPr>
            <w:tab/>
          </w:r>
          <w:r>
            <w:rPr>
              <w:sz w:val="24"/>
              <w:szCs w:val="24"/>
            </w:rPr>
            <w:fldChar w:fldCharType="begin"/>
          </w:r>
          <w:r>
            <w:rPr>
              <w:sz w:val="24"/>
              <w:szCs w:val="24"/>
            </w:rPr>
            <w:instrText xml:space="preserve"> PAGEREF _Toc31869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_Toc22463 </w:instrText>
          </w:r>
          <w:r>
            <w:rPr>
              <w:sz w:val="24"/>
              <w:szCs w:val="24"/>
            </w:rPr>
            <w:fldChar w:fldCharType="separate"/>
          </w:r>
          <w:r>
            <w:rPr>
              <w:rFonts w:hint="eastAsia" w:ascii="方正楷体_GBK" w:hAnsi="方正楷体_GBK" w:eastAsia="方正楷体_GBK" w:cs="方正楷体_GBK"/>
              <w:bCs w:val="0"/>
              <w:sz w:val="24"/>
              <w:szCs w:val="24"/>
            </w:rPr>
            <w:t>（二）加强组织领导</w:t>
          </w:r>
          <w:r>
            <w:rPr>
              <w:sz w:val="24"/>
              <w:szCs w:val="24"/>
            </w:rPr>
            <w:tab/>
          </w:r>
          <w:r>
            <w:rPr>
              <w:sz w:val="24"/>
              <w:szCs w:val="24"/>
            </w:rPr>
            <w:fldChar w:fldCharType="begin"/>
          </w:r>
          <w:r>
            <w:rPr>
              <w:sz w:val="24"/>
              <w:szCs w:val="24"/>
            </w:rPr>
            <w:instrText xml:space="preserve"> PAGEREF _Toc22463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_Toc13340 </w:instrText>
          </w:r>
          <w:r>
            <w:rPr>
              <w:sz w:val="24"/>
              <w:szCs w:val="24"/>
            </w:rPr>
            <w:fldChar w:fldCharType="separate"/>
          </w:r>
          <w:r>
            <w:rPr>
              <w:rFonts w:hint="eastAsia" w:ascii="方正楷体_GBK" w:hAnsi="方正楷体_GBK" w:eastAsia="方正楷体_GBK" w:cs="方正楷体_GBK"/>
              <w:bCs w:val="0"/>
              <w:sz w:val="24"/>
              <w:szCs w:val="24"/>
              <w:lang w:eastAsia="zh-CN"/>
            </w:rPr>
            <w:t>（</w:t>
          </w:r>
          <w:r>
            <w:rPr>
              <w:rFonts w:hint="eastAsia" w:ascii="方正楷体_GBK" w:hAnsi="方正楷体_GBK" w:eastAsia="方正楷体_GBK" w:cs="方正楷体_GBK"/>
              <w:bCs w:val="0"/>
              <w:sz w:val="24"/>
              <w:szCs w:val="24"/>
              <w:lang w:val="en-US" w:eastAsia="zh-CN"/>
            </w:rPr>
            <w:t>三</w:t>
          </w:r>
          <w:r>
            <w:rPr>
              <w:rFonts w:hint="eastAsia" w:ascii="方正楷体_GBK" w:hAnsi="方正楷体_GBK" w:eastAsia="方正楷体_GBK" w:cs="方正楷体_GBK"/>
              <w:bCs w:val="0"/>
              <w:sz w:val="24"/>
              <w:szCs w:val="24"/>
              <w:lang w:eastAsia="zh-CN"/>
            </w:rPr>
            <w:t>）</w:t>
          </w:r>
          <w:r>
            <w:rPr>
              <w:rFonts w:hint="eastAsia" w:ascii="方正楷体_GBK" w:hAnsi="方正楷体_GBK" w:eastAsia="方正楷体_GBK" w:cs="方正楷体_GBK"/>
              <w:bCs w:val="0"/>
              <w:sz w:val="24"/>
              <w:szCs w:val="24"/>
            </w:rPr>
            <w:t>树云中沟河道水体质量得到明显改善</w:t>
          </w:r>
          <w:r>
            <w:rPr>
              <w:sz w:val="24"/>
              <w:szCs w:val="24"/>
            </w:rPr>
            <w:tab/>
          </w:r>
          <w:r>
            <w:rPr>
              <w:sz w:val="24"/>
              <w:szCs w:val="24"/>
            </w:rPr>
            <w:fldChar w:fldCharType="begin"/>
          </w:r>
          <w:r>
            <w:rPr>
              <w:sz w:val="24"/>
              <w:szCs w:val="24"/>
            </w:rPr>
            <w:instrText xml:space="preserve"> PAGEREF _Toc13340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_Toc28424 </w:instrText>
          </w:r>
          <w:r>
            <w:rPr>
              <w:sz w:val="24"/>
              <w:szCs w:val="24"/>
            </w:rPr>
            <w:fldChar w:fldCharType="separate"/>
          </w:r>
          <w:r>
            <w:rPr>
              <w:rFonts w:hint="eastAsia" w:ascii="方正黑体_GBK" w:hAnsi="方正黑体_GBK" w:eastAsia="方正黑体_GBK" w:cs="方正黑体_GBK"/>
              <w:bCs w:val="0"/>
              <w:sz w:val="24"/>
              <w:szCs w:val="24"/>
              <w:lang w:val="en-US" w:eastAsia="zh-CN"/>
            </w:rPr>
            <w:t>七、存在的问题</w:t>
          </w:r>
          <w:r>
            <w:rPr>
              <w:sz w:val="24"/>
              <w:szCs w:val="24"/>
            </w:rPr>
            <w:tab/>
          </w:r>
          <w:r>
            <w:rPr>
              <w:sz w:val="24"/>
              <w:szCs w:val="24"/>
            </w:rPr>
            <w:fldChar w:fldCharType="begin"/>
          </w:r>
          <w:r>
            <w:rPr>
              <w:sz w:val="24"/>
              <w:szCs w:val="24"/>
            </w:rPr>
            <w:instrText xml:space="preserve"> PAGEREF _Toc28424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_Toc16103 </w:instrText>
          </w:r>
          <w:r>
            <w:rPr>
              <w:sz w:val="24"/>
              <w:szCs w:val="24"/>
            </w:rPr>
            <w:fldChar w:fldCharType="separate"/>
          </w:r>
          <w:r>
            <w:rPr>
              <w:rFonts w:hint="eastAsia" w:ascii="方正楷体_GBK" w:hAnsi="方正楷体_GBK" w:eastAsia="方正楷体_GBK" w:cs="方正楷体_GBK"/>
              <w:bCs w:val="0"/>
              <w:sz w:val="24"/>
              <w:szCs w:val="24"/>
            </w:rPr>
            <w:t>（一） 专项资金分配不合理</w:t>
          </w:r>
          <w:r>
            <w:rPr>
              <w:sz w:val="24"/>
              <w:szCs w:val="24"/>
            </w:rPr>
            <w:tab/>
          </w:r>
          <w:r>
            <w:rPr>
              <w:sz w:val="24"/>
              <w:szCs w:val="24"/>
            </w:rPr>
            <w:fldChar w:fldCharType="begin"/>
          </w:r>
          <w:r>
            <w:rPr>
              <w:sz w:val="24"/>
              <w:szCs w:val="24"/>
            </w:rPr>
            <w:instrText xml:space="preserve"> PAGEREF _Toc16103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_Toc15186 </w:instrText>
          </w:r>
          <w:r>
            <w:rPr>
              <w:sz w:val="24"/>
              <w:szCs w:val="24"/>
            </w:rPr>
            <w:fldChar w:fldCharType="separate"/>
          </w:r>
          <w:r>
            <w:rPr>
              <w:rFonts w:hint="eastAsia" w:ascii="方正楷体_GBK" w:hAnsi="方正楷体_GBK" w:eastAsia="方正楷体_GBK" w:cs="方正楷体_GBK"/>
              <w:bCs w:val="0"/>
              <w:sz w:val="24"/>
              <w:szCs w:val="24"/>
              <w:lang w:eastAsia="zh-CN"/>
            </w:rPr>
            <w:t>（二）专项资金会计核算不规范</w:t>
          </w:r>
          <w:r>
            <w:rPr>
              <w:sz w:val="24"/>
              <w:szCs w:val="24"/>
            </w:rPr>
            <w:tab/>
          </w:r>
          <w:r>
            <w:rPr>
              <w:sz w:val="24"/>
              <w:szCs w:val="24"/>
            </w:rPr>
            <w:fldChar w:fldCharType="begin"/>
          </w:r>
          <w:r>
            <w:rPr>
              <w:sz w:val="24"/>
              <w:szCs w:val="24"/>
            </w:rPr>
            <w:instrText xml:space="preserve"> PAGEREF _Toc15186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_Toc30762 </w:instrText>
          </w:r>
          <w:r>
            <w:rPr>
              <w:sz w:val="24"/>
              <w:szCs w:val="24"/>
            </w:rPr>
            <w:fldChar w:fldCharType="separate"/>
          </w:r>
          <w:r>
            <w:rPr>
              <w:rFonts w:hint="eastAsia" w:ascii="方正楷体_GBK" w:hAnsi="方正楷体_GBK" w:eastAsia="方正楷体_GBK" w:cs="方正楷体_GBK"/>
              <w:bCs w:val="0"/>
              <w:sz w:val="24"/>
              <w:szCs w:val="24"/>
              <w:lang w:eastAsia="zh-CN"/>
            </w:rPr>
            <w:t>（三）项目后续养护不到位</w:t>
          </w:r>
          <w:r>
            <w:rPr>
              <w:sz w:val="24"/>
              <w:szCs w:val="24"/>
            </w:rPr>
            <w:tab/>
          </w:r>
          <w:r>
            <w:rPr>
              <w:sz w:val="24"/>
              <w:szCs w:val="24"/>
            </w:rPr>
            <w:fldChar w:fldCharType="begin"/>
          </w:r>
          <w:r>
            <w:rPr>
              <w:sz w:val="24"/>
              <w:szCs w:val="24"/>
            </w:rPr>
            <w:instrText xml:space="preserve"> PAGEREF _Toc30762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_Toc2250 </w:instrText>
          </w:r>
          <w:r>
            <w:rPr>
              <w:sz w:val="24"/>
              <w:szCs w:val="24"/>
            </w:rPr>
            <w:fldChar w:fldCharType="separate"/>
          </w:r>
          <w:r>
            <w:rPr>
              <w:rFonts w:hint="eastAsia" w:ascii="方正楷体_GBK" w:hAnsi="方正楷体_GBK" w:eastAsia="方正楷体_GBK" w:cs="方正楷体_GBK"/>
              <w:bCs w:val="0"/>
              <w:sz w:val="24"/>
              <w:szCs w:val="24"/>
              <w:lang w:eastAsia="zh-CN"/>
            </w:rPr>
            <w:t>（四）项目设计方案调整变更手续不完善</w:t>
          </w:r>
          <w:r>
            <w:rPr>
              <w:sz w:val="24"/>
              <w:szCs w:val="24"/>
            </w:rPr>
            <w:tab/>
          </w:r>
          <w:r>
            <w:rPr>
              <w:sz w:val="24"/>
              <w:szCs w:val="24"/>
            </w:rPr>
            <w:fldChar w:fldCharType="begin"/>
          </w:r>
          <w:r>
            <w:rPr>
              <w:sz w:val="24"/>
              <w:szCs w:val="24"/>
            </w:rPr>
            <w:instrText xml:space="preserve"> PAGEREF _Toc2250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_Toc10535 </w:instrText>
          </w:r>
          <w:r>
            <w:rPr>
              <w:sz w:val="24"/>
              <w:szCs w:val="24"/>
            </w:rPr>
            <w:fldChar w:fldCharType="separate"/>
          </w:r>
          <w:r>
            <w:rPr>
              <w:rFonts w:hint="eastAsia" w:ascii="方正楷体_GBK" w:hAnsi="方正楷体_GBK" w:eastAsia="方正楷体_GBK" w:cs="方正楷体_GBK"/>
              <w:bCs w:val="0"/>
              <w:sz w:val="24"/>
              <w:szCs w:val="24"/>
              <w:lang w:eastAsia="zh-CN"/>
            </w:rPr>
            <w:t>（五）项目长效管理机制不健全</w:t>
          </w:r>
          <w:r>
            <w:rPr>
              <w:sz w:val="24"/>
              <w:szCs w:val="24"/>
            </w:rPr>
            <w:tab/>
          </w:r>
          <w:r>
            <w:rPr>
              <w:sz w:val="24"/>
              <w:szCs w:val="24"/>
            </w:rPr>
            <w:fldChar w:fldCharType="begin"/>
          </w:r>
          <w:r>
            <w:rPr>
              <w:sz w:val="24"/>
              <w:szCs w:val="24"/>
            </w:rPr>
            <w:instrText xml:space="preserve"> PAGEREF _Toc10535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_Toc6727 </w:instrText>
          </w:r>
          <w:r>
            <w:rPr>
              <w:sz w:val="24"/>
              <w:szCs w:val="24"/>
            </w:rPr>
            <w:fldChar w:fldCharType="separate"/>
          </w:r>
          <w:r>
            <w:rPr>
              <w:rFonts w:hint="eastAsia" w:ascii="方正黑体_GBK" w:hAnsi="方正黑体_GBK" w:eastAsia="方正黑体_GBK" w:cs="方正黑体_GBK"/>
              <w:bCs w:val="0"/>
              <w:sz w:val="24"/>
              <w:szCs w:val="24"/>
              <w:lang w:val="en-US" w:eastAsia="zh-CN"/>
            </w:rPr>
            <w:t>八、整改建议</w:t>
          </w:r>
          <w:r>
            <w:rPr>
              <w:sz w:val="24"/>
              <w:szCs w:val="24"/>
            </w:rPr>
            <w:tab/>
          </w:r>
          <w:r>
            <w:rPr>
              <w:sz w:val="24"/>
              <w:szCs w:val="24"/>
            </w:rPr>
            <w:fldChar w:fldCharType="begin"/>
          </w:r>
          <w:r>
            <w:rPr>
              <w:sz w:val="24"/>
              <w:szCs w:val="24"/>
            </w:rPr>
            <w:instrText xml:space="preserve"> PAGEREF _Toc6727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_Toc13680 </w:instrText>
          </w:r>
          <w:r>
            <w:rPr>
              <w:sz w:val="24"/>
              <w:szCs w:val="24"/>
            </w:rPr>
            <w:fldChar w:fldCharType="separate"/>
          </w:r>
          <w:r>
            <w:rPr>
              <w:rFonts w:hint="eastAsia" w:ascii="方正楷体_GBK" w:hAnsi="方正楷体_GBK" w:eastAsia="方正楷体_GBK" w:cs="方正楷体_GBK"/>
              <w:bCs w:val="0"/>
              <w:sz w:val="24"/>
              <w:szCs w:val="24"/>
              <w:lang w:eastAsia="zh-CN"/>
            </w:rPr>
            <w:t>（一）有效落实河道长效管理机制</w:t>
          </w:r>
          <w:r>
            <w:rPr>
              <w:sz w:val="24"/>
              <w:szCs w:val="24"/>
            </w:rPr>
            <w:tab/>
          </w:r>
          <w:r>
            <w:rPr>
              <w:sz w:val="24"/>
              <w:szCs w:val="24"/>
            </w:rPr>
            <w:fldChar w:fldCharType="begin"/>
          </w:r>
          <w:r>
            <w:rPr>
              <w:sz w:val="24"/>
              <w:szCs w:val="24"/>
            </w:rPr>
            <w:instrText xml:space="preserve"> PAGEREF _Toc13680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_Toc10440 </w:instrText>
          </w:r>
          <w:r>
            <w:rPr>
              <w:sz w:val="24"/>
              <w:szCs w:val="24"/>
            </w:rPr>
            <w:fldChar w:fldCharType="separate"/>
          </w:r>
          <w:r>
            <w:rPr>
              <w:rFonts w:hint="eastAsia" w:ascii="方正楷体_GBK" w:hAnsi="方正楷体_GBK" w:eastAsia="方正楷体_GBK" w:cs="方正楷体_GBK"/>
              <w:bCs w:val="0"/>
              <w:sz w:val="24"/>
              <w:szCs w:val="24"/>
              <w:lang w:eastAsia="zh-CN"/>
            </w:rPr>
            <w:t>（二）建立健全“建管分离”良性运作机制</w:t>
          </w:r>
          <w:r>
            <w:rPr>
              <w:sz w:val="24"/>
              <w:szCs w:val="24"/>
            </w:rPr>
            <w:tab/>
          </w:r>
          <w:r>
            <w:rPr>
              <w:sz w:val="24"/>
              <w:szCs w:val="24"/>
            </w:rPr>
            <w:fldChar w:fldCharType="begin"/>
          </w:r>
          <w:r>
            <w:rPr>
              <w:sz w:val="24"/>
              <w:szCs w:val="24"/>
            </w:rPr>
            <w:instrText xml:space="preserve"> PAGEREF _Toc10440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_Toc3829 </w:instrText>
          </w:r>
          <w:r>
            <w:rPr>
              <w:sz w:val="24"/>
              <w:szCs w:val="24"/>
            </w:rPr>
            <w:fldChar w:fldCharType="separate"/>
          </w:r>
          <w:r>
            <w:rPr>
              <w:rFonts w:hint="eastAsia" w:ascii="方正楷体_GBK" w:hAnsi="方正楷体_GBK" w:eastAsia="方正楷体_GBK" w:cs="方正楷体_GBK"/>
              <w:bCs w:val="0"/>
              <w:sz w:val="24"/>
              <w:szCs w:val="24"/>
              <w:lang w:eastAsia="zh-CN"/>
            </w:rPr>
            <w:t>（三）加强河道环境保护宣传</w:t>
          </w:r>
          <w:r>
            <w:rPr>
              <w:sz w:val="24"/>
              <w:szCs w:val="24"/>
            </w:rPr>
            <w:tab/>
          </w:r>
          <w:r>
            <w:rPr>
              <w:sz w:val="24"/>
              <w:szCs w:val="24"/>
            </w:rPr>
            <w:fldChar w:fldCharType="begin"/>
          </w:r>
          <w:r>
            <w:rPr>
              <w:sz w:val="24"/>
              <w:szCs w:val="24"/>
            </w:rPr>
            <w:instrText xml:space="preserve"> PAGEREF _Toc3829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3"/>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_Toc12225 </w:instrText>
          </w:r>
          <w:r>
            <w:rPr>
              <w:sz w:val="24"/>
              <w:szCs w:val="24"/>
            </w:rPr>
            <w:fldChar w:fldCharType="separate"/>
          </w:r>
          <w:r>
            <w:rPr>
              <w:rFonts w:hint="eastAsia" w:ascii="方正楷体_GBK" w:hAnsi="方正楷体_GBK" w:eastAsia="方正楷体_GBK" w:cs="方正楷体_GBK"/>
              <w:bCs w:val="0"/>
              <w:sz w:val="24"/>
              <w:szCs w:val="24"/>
              <w:lang w:eastAsia="zh-CN"/>
            </w:rPr>
            <w:t>（四）完善专项资金管理制度</w:t>
          </w:r>
          <w:r>
            <w:rPr>
              <w:sz w:val="24"/>
              <w:szCs w:val="24"/>
            </w:rPr>
            <w:tab/>
          </w:r>
          <w:r>
            <w:rPr>
              <w:sz w:val="24"/>
              <w:szCs w:val="24"/>
            </w:rPr>
            <w:fldChar w:fldCharType="begin"/>
          </w:r>
          <w:r>
            <w:rPr>
              <w:sz w:val="24"/>
              <w:szCs w:val="24"/>
            </w:rPr>
            <w:instrText xml:space="preserve"> PAGEREF _Toc12225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3"/>
            <w:tabs>
              <w:tab w:val="right" w:leader="dot" w:pos="8306"/>
              <w:tab w:val="clear" w:pos="8296"/>
            </w:tabs>
          </w:pPr>
          <w:r>
            <w:fldChar w:fldCharType="begin"/>
          </w:r>
          <w:r>
            <w:instrText xml:space="preserve"> HYPERLINK \l _Toc22420 </w:instrText>
          </w:r>
          <w:r>
            <w:fldChar w:fldCharType="separate"/>
          </w:r>
          <w:r>
            <w:rPr>
              <w:rFonts w:hint="eastAsia" w:ascii="方正楷体_GBK" w:hAnsi="方正楷体_GBK" w:eastAsia="方正楷体_GBK" w:cs="方正楷体_GBK"/>
              <w:bCs w:val="0"/>
              <w:szCs w:val="32"/>
              <w:lang w:eastAsia="zh-CN"/>
            </w:rPr>
            <w:t>（五）规范会计核算，提高专项资金财务管理水平</w:t>
          </w:r>
          <w:r>
            <w:tab/>
          </w:r>
          <w:r>
            <w:fldChar w:fldCharType="begin"/>
          </w:r>
          <w:r>
            <w:instrText xml:space="preserve"> PAGEREF _Toc22420 \h </w:instrText>
          </w:r>
          <w:r>
            <w:fldChar w:fldCharType="separate"/>
          </w:r>
          <w:r>
            <w:t>23</w:t>
          </w:r>
          <w:r>
            <w:fldChar w:fldCharType="end"/>
          </w:r>
          <w:r>
            <w:fldChar w:fldCharType="end"/>
          </w:r>
        </w:p>
        <w:p>
          <w:pPr>
            <w:pStyle w:val="32"/>
            <w:jc w:val="center"/>
          </w:pPr>
          <w:r>
            <w:fldChar w:fldCharType="end"/>
          </w:r>
        </w:p>
      </w:sdtContent>
    </w:sdt>
    <w:p>
      <w:pPr>
        <w:autoSpaceDE w:val="0"/>
        <w:autoSpaceDN w:val="0"/>
        <w:adjustRightInd w:val="0"/>
        <w:spacing w:line="500" w:lineRule="exact"/>
        <w:ind w:right="13" w:rightChars="6"/>
        <w:jc w:val="center"/>
        <w:rPr>
          <w:rFonts w:ascii="黑体" w:hAnsi="黑体" w:eastAsia="黑体"/>
          <w:b/>
          <w:spacing w:val="50"/>
          <w:kern w:val="20"/>
          <w:sz w:val="44"/>
          <w:szCs w:val="44"/>
        </w:rPr>
        <w:sectPr>
          <w:headerReference r:id="rId3" w:type="default"/>
          <w:footerReference r:id="rId4" w:type="default"/>
          <w:pgSz w:w="11906" w:h="16838"/>
          <w:pgMar w:top="1440" w:right="1800" w:bottom="1440" w:left="1800" w:header="851" w:footer="992" w:gutter="0"/>
          <w:cols w:space="425" w:num="1"/>
          <w:docGrid w:type="lines" w:linePitch="312" w:charSpace="0"/>
        </w:sectPr>
      </w:pPr>
      <w:bookmarkStart w:id="0" w:name="_Toc3280_WPSOffice_Level1"/>
      <w:bookmarkStart w:id="1" w:name="_Toc22396_WPSOffice_Level1"/>
      <w:bookmarkStart w:id="2" w:name="_Toc15582_WPSOffice_Level1"/>
      <w:bookmarkStart w:id="3" w:name="_Toc3521_WPSOffice_Level1"/>
      <w:bookmarkStart w:id="4" w:name="_Toc3310_WPSOffice_Level1"/>
      <w:bookmarkStart w:id="5" w:name="_Toc26201_WPSOffice_Level1"/>
    </w:p>
    <w:p>
      <w:pPr>
        <w:autoSpaceDE w:val="0"/>
        <w:autoSpaceDN w:val="0"/>
        <w:adjustRightInd w:val="0"/>
        <w:spacing w:line="500" w:lineRule="exact"/>
        <w:ind w:right="13" w:rightChars="6"/>
        <w:jc w:val="distribute"/>
        <w:rPr>
          <w:rFonts w:ascii="黑体" w:hAnsi="黑体" w:eastAsia="黑体"/>
          <w:b/>
          <w:spacing w:val="50"/>
          <w:kern w:val="20"/>
          <w:sz w:val="44"/>
          <w:szCs w:val="44"/>
        </w:rPr>
      </w:pPr>
      <w:r>
        <w:rPr>
          <w:rFonts w:hint="eastAsia" w:ascii="黑体" w:hAnsi="黑体" w:eastAsia="黑体"/>
          <w:b/>
          <w:spacing w:val="50"/>
          <w:kern w:val="20"/>
          <w:sz w:val="44"/>
          <w:szCs w:val="44"/>
        </w:rPr>
        <w:t>江苏润华会计师事务所有限公司</w:t>
      </w:r>
      <w:bookmarkEnd w:id="0"/>
      <w:bookmarkEnd w:id="1"/>
      <w:bookmarkEnd w:id="2"/>
      <w:bookmarkEnd w:id="3"/>
      <w:bookmarkEnd w:id="4"/>
      <w:bookmarkEnd w:id="5"/>
    </w:p>
    <w:p>
      <w:pPr>
        <w:pStyle w:val="3"/>
        <w:spacing w:line="500" w:lineRule="exact"/>
        <w:jc w:val="distribute"/>
        <w:rPr>
          <w:rFonts w:ascii="方正小标宋_GBK" w:hAnsi="方正小标宋_GBK" w:eastAsia="方正小标宋_GBK" w:cs="方正小标宋_GBK"/>
          <w:sz w:val="36"/>
          <w:szCs w:val="36"/>
        </w:rPr>
      </w:pPr>
      <w:bookmarkStart w:id="6" w:name="_Toc19214_WPSOffice_Level1"/>
      <w:bookmarkStart w:id="7" w:name="_Toc2358_WPSOffice_Level1"/>
      <w:bookmarkStart w:id="8" w:name="_Toc12128_WPSOffice_Level1"/>
      <w:bookmarkStart w:id="9" w:name="_Toc13246"/>
      <w:bookmarkStart w:id="10" w:name="_Toc8602"/>
      <w:bookmarkStart w:id="11" w:name="_Toc29902_WPSOffice_Level1"/>
      <w:bookmarkStart w:id="12" w:name="_Toc20315225"/>
      <w:bookmarkStart w:id="13" w:name="_Toc10432"/>
      <w:bookmarkStart w:id="14" w:name="_Toc9612_WPSOffice_Level1"/>
      <w:bookmarkStart w:id="15" w:name="_Toc30354_WPSOffice_Level1"/>
      <w:bookmarkStart w:id="16" w:name="_Toc17376648"/>
      <w:bookmarkStart w:id="17" w:name="_Toc8525"/>
      <w:bookmarkStart w:id="18" w:name="_Toc7144"/>
      <w:r>
        <w:rPr>
          <w:rFonts w:hint="eastAsia" w:ascii="新宋体" w:hAnsi="新宋体" w:eastAsia="新宋体"/>
          <w:spacing w:val="10"/>
          <w:kern w:val="20"/>
          <w:u w:val="single"/>
        </w:rPr>
        <w:t>Jiangsu RunHua Certified Public Accountants Co.,Ltd</w:t>
      </w:r>
      <w:bookmarkEnd w:id="6"/>
      <w:bookmarkEnd w:id="7"/>
      <w:bookmarkEnd w:id="8"/>
      <w:bookmarkEnd w:id="9"/>
      <w:bookmarkEnd w:id="10"/>
      <w:bookmarkEnd w:id="11"/>
      <w:bookmarkEnd w:id="12"/>
      <w:bookmarkEnd w:id="13"/>
      <w:bookmarkEnd w:id="14"/>
      <w:bookmarkEnd w:id="15"/>
      <w:bookmarkEnd w:id="16"/>
      <w:bookmarkEnd w:id="17"/>
      <w:bookmarkEnd w:id="18"/>
    </w:p>
    <w:p>
      <w:pPr>
        <w:pStyle w:val="24"/>
        <w:tabs>
          <w:tab w:val="right" w:leader="dot" w:pos="8280"/>
        </w:tabs>
        <w:spacing w:beforeLines="50" w:afterLines="50" w:line="480" w:lineRule="auto"/>
        <w:ind w:left="0"/>
        <w:jc w:val="center"/>
        <w:rPr>
          <w:rStyle w:val="22"/>
          <w:rFonts w:hint="eastAsia" w:ascii="方正小标宋简体" w:hAnsi="方正小标宋简体" w:eastAsia="方正小标宋简体" w:cs="方正小标宋简体"/>
          <w:b w:val="0"/>
          <w:bCs/>
          <w:sz w:val="36"/>
          <w:szCs w:val="36"/>
        </w:rPr>
      </w:pPr>
      <w:r>
        <w:rPr>
          <w:rStyle w:val="22"/>
          <w:rFonts w:hint="eastAsia" w:ascii="方正小标宋简体" w:hAnsi="方正小标宋简体" w:eastAsia="方正小标宋简体" w:cs="方正小标宋简体"/>
          <w:b w:val="0"/>
          <w:bCs/>
          <w:sz w:val="36"/>
          <w:szCs w:val="36"/>
          <w:lang w:val="zh-TW"/>
        </w:rPr>
        <w:t>灌云县</w:t>
      </w:r>
      <w:r>
        <w:rPr>
          <w:rStyle w:val="22"/>
          <w:rFonts w:hint="eastAsia" w:ascii="方正小标宋简体" w:hAnsi="方正小标宋简体" w:eastAsia="方正小标宋简体" w:cs="方正小标宋简体"/>
          <w:b w:val="0"/>
          <w:bCs/>
          <w:sz w:val="36"/>
          <w:szCs w:val="36"/>
        </w:rPr>
        <w:t>2019</w:t>
      </w:r>
      <w:r>
        <w:rPr>
          <w:rStyle w:val="22"/>
          <w:rFonts w:hint="eastAsia" w:ascii="方正小标宋简体" w:hAnsi="方正小标宋简体" w:eastAsia="方正小标宋简体" w:cs="方正小标宋简体"/>
          <w:b w:val="0"/>
          <w:bCs/>
          <w:sz w:val="36"/>
          <w:szCs w:val="36"/>
          <w:lang w:val="zh-TW" w:eastAsia="zh-TW"/>
        </w:rPr>
        <w:t>年</w:t>
      </w:r>
      <w:r>
        <w:rPr>
          <w:rStyle w:val="22"/>
          <w:rFonts w:hint="eastAsia" w:ascii="方正小标宋简体" w:hAnsi="方正小标宋简体" w:eastAsia="方正小标宋简体" w:cs="方正小标宋简体"/>
          <w:b w:val="0"/>
          <w:bCs/>
          <w:sz w:val="36"/>
          <w:szCs w:val="36"/>
          <w:lang w:val="zh-TW"/>
        </w:rPr>
        <w:t>度</w:t>
      </w:r>
      <w:r>
        <w:rPr>
          <w:rStyle w:val="22"/>
          <w:rFonts w:hint="eastAsia" w:ascii="方正小标宋简体" w:hAnsi="方正小标宋简体" w:eastAsia="方正小标宋简体" w:cs="方正小标宋简体"/>
          <w:b w:val="0"/>
          <w:bCs/>
          <w:sz w:val="36"/>
          <w:szCs w:val="36"/>
          <w:lang w:val="zh-TW" w:eastAsia="zh-TW"/>
        </w:rPr>
        <w:t>黑臭河道整治（</w:t>
      </w:r>
      <w:r>
        <w:rPr>
          <w:rStyle w:val="22"/>
          <w:rFonts w:hint="eastAsia" w:ascii="方正小标宋简体" w:hAnsi="方正小标宋简体" w:eastAsia="方正小标宋简体" w:cs="方正小标宋简体"/>
          <w:b w:val="0"/>
          <w:bCs/>
          <w:sz w:val="36"/>
          <w:szCs w:val="36"/>
          <w:lang w:val="zh-TW"/>
        </w:rPr>
        <w:t>树云中沟段）</w:t>
      </w:r>
    </w:p>
    <w:p>
      <w:pPr>
        <w:pStyle w:val="24"/>
        <w:tabs>
          <w:tab w:val="right" w:leader="dot" w:pos="8280"/>
        </w:tabs>
        <w:spacing w:beforeLines="50" w:afterLines="50" w:line="480" w:lineRule="auto"/>
        <w:ind w:left="0"/>
        <w:jc w:val="center"/>
        <w:rPr>
          <w:rStyle w:val="22"/>
          <w:rFonts w:hint="eastAsia" w:ascii="方正小标宋简体" w:hAnsi="方正小标宋简体" w:eastAsia="方正小标宋简体" w:cs="方正小标宋简体"/>
          <w:b w:val="0"/>
          <w:bCs/>
          <w:sz w:val="36"/>
          <w:szCs w:val="36"/>
          <w:lang w:val="zh-TW"/>
        </w:rPr>
      </w:pPr>
      <w:r>
        <w:rPr>
          <w:rStyle w:val="22"/>
          <w:rFonts w:hint="eastAsia" w:ascii="方正小标宋简体" w:hAnsi="方正小标宋简体" w:eastAsia="方正小标宋简体" w:cs="方正小标宋简体"/>
          <w:b w:val="0"/>
          <w:bCs/>
          <w:sz w:val="36"/>
          <w:szCs w:val="36"/>
          <w:lang w:val="zh-TW" w:eastAsia="zh-TW"/>
        </w:rPr>
        <w:t>项目</w:t>
      </w:r>
      <w:r>
        <w:rPr>
          <w:rStyle w:val="22"/>
          <w:rFonts w:hint="eastAsia" w:ascii="方正小标宋简体" w:hAnsi="方正小标宋简体" w:eastAsia="方正小标宋简体" w:cs="方正小标宋简体"/>
          <w:b w:val="0"/>
          <w:bCs/>
          <w:sz w:val="36"/>
          <w:szCs w:val="36"/>
          <w:lang w:val="zh-TW"/>
        </w:rPr>
        <w:t>绩</w:t>
      </w:r>
      <w:r>
        <w:rPr>
          <w:rStyle w:val="22"/>
          <w:rFonts w:hint="eastAsia" w:ascii="方正小标宋简体" w:hAnsi="方正小标宋简体" w:eastAsia="方正小标宋简体" w:cs="方正小标宋简体"/>
          <w:b w:val="0"/>
          <w:bCs/>
          <w:sz w:val="36"/>
          <w:szCs w:val="36"/>
          <w:lang w:val="zh-TW" w:eastAsia="zh-TW"/>
        </w:rPr>
        <w:t>效评价报告</w:t>
      </w:r>
    </w:p>
    <w:p>
      <w:pPr>
        <w:spacing w:line="480" w:lineRule="auto"/>
        <w:jc w:val="right"/>
        <w:rPr>
          <w:rFonts w:hint="default" w:ascii="黑体" w:hAnsi="黑体" w:eastAsia="黑体" w:cs="黑体"/>
          <w:bCs/>
          <w:sz w:val="24"/>
          <w:szCs w:val="24"/>
          <w:lang w:val="en-US" w:eastAsia="zh-CN"/>
        </w:rPr>
      </w:pPr>
      <w:bookmarkStart w:id="19" w:name="_Toc25835_WPSOffice_Level1"/>
      <w:bookmarkStart w:id="20" w:name="_Toc22580_WPSOffice_Level1"/>
      <w:bookmarkStart w:id="21" w:name="_Toc3007_WPSOffice_Level1"/>
      <w:bookmarkStart w:id="22" w:name="_Toc1083_WPSOffice_Level1"/>
      <w:bookmarkStart w:id="23" w:name="_Toc20936_WPSOffice_Level1"/>
      <w:bookmarkStart w:id="24" w:name="_Toc24576_WPSOffice_Level1"/>
      <w:r>
        <w:rPr>
          <w:rFonts w:hint="eastAsia" w:ascii="黑体" w:hAnsi="黑体" w:eastAsia="黑体" w:cs="黑体"/>
          <w:bCs/>
          <w:sz w:val="24"/>
          <w:szCs w:val="24"/>
          <w:lang w:val="zh-TW" w:eastAsia="zh-TW"/>
        </w:rPr>
        <w:t>苏润绩【2020】</w:t>
      </w:r>
      <w:bookmarkEnd w:id="19"/>
      <w:bookmarkEnd w:id="20"/>
      <w:bookmarkEnd w:id="21"/>
      <w:bookmarkEnd w:id="22"/>
      <w:bookmarkEnd w:id="23"/>
      <w:bookmarkEnd w:id="24"/>
      <w:r>
        <w:rPr>
          <w:rFonts w:hint="eastAsia" w:ascii="黑体" w:hAnsi="黑体" w:eastAsia="黑体" w:cs="黑体"/>
          <w:bCs/>
          <w:sz w:val="24"/>
          <w:szCs w:val="24"/>
          <w:lang w:val="zh-TW" w:eastAsia="zh-TW"/>
        </w:rPr>
        <w:t>J00</w:t>
      </w:r>
      <w:r>
        <w:rPr>
          <w:rFonts w:hint="eastAsia" w:ascii="黑体" w:hAnsi="黑体" w:eastAsia="黑体" w:cs="黑体"/>
          <w:bCs/>
          <w:sz w:val="24"/>
          <w:szCs w:val="24"/>
          <w:lang w:val="en-US" w:eastAsia="zh-CN"/>
        </w:rPr>
        <w:t>20号</w:t>
      </w:r>
    </w:p>
    <w:p>
      <w:pPr>
        <w:pageBreakBefore w:val="0"/>
        <w:widowControl/>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为客观评价灌云县2019年度黑臭河道整治（树云中沟段）项目绩效完成情况，提高财政资金使用效果，依据《灌云县财政局关于开展2020年财政支出绩效评价工作的通知》（灌财绩〔2020〕14号）要求，我所接受灌云县财政局委托，按照《江苏省财政专项资金绩效管理办法》（苏财规[2010]36号）、《国务院关于引发水污染防治行动计划的通知》（国发[2015]17号）、住房城乡建设部、环保部《城市黑臭水体整治工作指南》建城[2015]130号、《江苏省城市黑臭水体整治行动方案》苏政发[2016]44号、《连云港“两减六治三提升”专项行动行动方案》（连发[2017]4号)、《关于印发&lt;灌云县黑臭水体整治实施方案&gt;的通知》（灌政办[2018]106号）及灌云县有关黑臭河治理规划、方案等有关规定成立了项目绩效评价小组，对灌云县2019年度黑臭河道整治(树云中沟段)项目（以下简称“树云中沟黑臭河整治”项目）实施绩效评价。现将绩效评价情况报告如下：</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rPr>
      </w:pPr>
      <w:bookmarkStart w:id="25" w:name="_Toc28182"/>
      <w:r>
        <w:rPr>
          <w:rFonts w:hint="eastAsia" w:ascii="方正黑体_GBK" w:hAnsi="方正黑体_GBK" w:eastAsia="方正黑体_GBK" w:cs="方正黑体_GBK"/>
          <w:b w:val="0"/>
          <w:bCs w:val="0"/>
          <w:sz w:val="32"/>
          <w:szCs w:val="32"/>
        </w:rPr>
        <w:t>一、项目基本情况</w:t>
      </w:r>
      <w:bookmarkEnd w:id="25"/>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26" w:name="_Toc30863"/>
      <w:r>
        <w:rPr>
          <w:rFonts w:hint="eastAsia" w:ascii="方正楷体_GBK" w:hAnsi="方正楷体_GBK" w:eastAsia="方正楷体_GBK" w:cs="方正楷体_GBK"/>
          <w:b w:val="0"/>
          <w:bCs w:val="0"/>
          <w:sz w:val="32"/>
          <w:szCs w:val="32"/>
        </w:rPr>
        <w:t>（一）项目背景</w:t>
      </w:r>
      <w:bookmarkEnd w:id="26"/>
    </w:p>
    <w:p>
      <w:pPr>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2015年在国家将水环境保护作为</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"http://www.chndaqi.com/news/field?fid=32" \t "_blank" \o "生态文明" </w:instrText>
      </w:r>
      <w:r>
        <w:rPr>
          <w:rFonts w:hint="eastAsia" w:ascii="仿宋" w:hAnsi="仿宋" w:eastAsia="仿宋" w:cs="仿宋"/>
          <w:sz w:val="32"/>
          <w:szCs w:val="32"/>
        </w:rPr>
        <w:fldChar w:fldCharType="separate"/>
      </w:r>
      <w:r>
        <w:rPr>
          <w:rFonts w:hint="eastAsia" w:ascii="仿宋" w:hAnsi="仿宋" w:eastAsia="仿宋" w:cs="仿宋"/>
          <w:color w:val="333333"/>
          <w:sz w:val="32"/>
          <w:szCs w:val="32"/>
        </w:rPr>
        <w:t>生态文明</w:t>
      </w:r>
      <w:r>
        <w:rPr>
          <w:rFonts w:hint="eastAsia" w:ascii="仿宋" w:hAnsi="仿宋" w:eastAsia="仿宋" w:cs="仿宋"/>
          <w:color w:val="333333"/>
          <w:sz w:val="32"/>
          <w:szCs w:val="32"/>
        </w:rPr>
        <w:fldChar w:fldCharType="end"/>
      </w:r>
      <w:r>
        <w:rPr>
          <w:rFonts w:hint="eastAsia" w:ascii="仿宋" w:hAnsi="仿宋" w:eastAsia="仿宋" w:cs="仿宋"/>
          <w:color w:val="333333"/>
          <w:sz w:val="32"/>
          <w:szCs w:val="32"/>
        </w:rPr>
        <w:t>建设的重要内容的大背景下，针对水污染防治工作面临的严峻形势，环境保护部、发展改革委、科技部、工业和信息化部、财政部、国土资源部、住房城乡建设部、交通运输部、水利部、农业部、卫生计生委、海洋局等部门，共同编制了《水污染防治行动计划》（即“水十条”）， 提出“到2020年，地级及以上城市建成区黑臭水体均控制在10%以内，到2030年，城市建成区黑臭水体总体得到消除”的控制性目标。为了贯彻落实《国务院关于印发水污染防治行动计划的通知》（国发[2015]17号文）要求，打好水污染防治攻坚战，实现全市域消除黑臭水体，改善城市河道水质，切实提升城乡水环境质量，按照《连云港“两减六治三提升”专项行动方案》（连发[2017]4号)相关要求，灌云县政府以黑臭河道整治为重点。贯彻落实海绵城市建设理念，控源截污，建管并重，快速推动水环境综合整治，整治范围包括小鸭河西起叮当河，东至盐河，全长约5.7公里的控源截污工程，疏浚清淤工程，生态修复工程，护坡改造工程及绿化工程；树云中沟南起三里河，北至山前河，总长约2.4公里的控源截污工程，疏浚清淤工程，生态修复工程及绿化补植工程；山前河西起叮当河，东至盐河，总长约6.6公里的控源截污工程，疏浚清淤工程，生态修复工程，护坡改造工程及绿化补植工程；三里河西起叮当河，东至盐河，总长约6.0公里控源截污工程，疏浚清淤工程，生态修复工程，护坡改造工程及绿化补植工程；东门河城区段西起盐河，东至化肥厂，总长约1.1公里的控源截污工程，生态修复工程，及绿化补植工程，总长度约21.8公里。项目总投资约3.3亿元。</w:t>
      </w:r>
      <w:r>
        <w:rPr>
          <w:rFonts w:hint="eastAsia" w:ascii="仿宋" w:hAnsi="仿宋" w:eastAsia="仿宋" w:cs="仿宋"/>
          <w:b/>
          <w:color w:val="333333"/>
          <w:sz w:val="32"/>
          <w:szCs w:val="32"/>
        </w:rPr>
        <w:t>本次绩效评价范围仅涉及树云中沟黑臭河道整治工程。</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27" w:name="_Toc23435"/>
      <w:r>
        <w:rPr>
          <w:rFonts w:hint="eastAsia" w:ascii="方正楷体_GBK" w:hAnsi="方正楷体_GBK" w:eastAsia="方正楷体_GBK" w:cs="方正楷体_GBK"/>
          <w:b w:val="0"/>
          <w:bCs w:val="0"/>
          <w:sz w:val="32"/>
          <w:szCs w:val="32"/>
        </w:rPr>
        <w:t>（二）项目实施内容</w:t>
      </w:r>
      <w:bookmarkEnd w:id="27"/>
    </w:p>
    <w:p>
      <w:pPr>
        <w:pageBreakBefore w:val="0"/>
        <w:widowControl/>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树云中沟位于灌云县伊山镇，南起三里河，北至山前河，与小鸭河相交，全长2.4公里，断面宽度约</w:t>
      </w:r>
      <w:r>
        <w:rPr>
          <w:rFonts w:hint="eastAsia" w:ascii="仿宋" w:hAnsi="仿宋" w:eastAsia="仿宋" w:cs="仿宋"/>
          <w:sz w:val="32"/>
          <w:szCs w:val="32"/>
        </w:rPr>
        <w:t>6-10</w:t>
      </w:r>
      <w:r>
        <w:rPr>
          <w:rFonts w:hint="eastAsia" w:ascii="仿宋" w:hAnsi="仿宋" w:eastAsia="仿宋" w:cs="仿宋"/>
          <w:color w:val="333333"/>
          <w:sz w:val="32"/>
          <w:szCs w:val="32"/>
        </w:rPr>
        <w:t>米，沿线共有桥梁18座。2018年7月27日，灌云县城市黑臭水体整治工程（树云中沟段）采用EPC工程总承包的模式进行公开招标，最终确定江苏省交通工程集团有限公司为项目中标人，中标价格为2890.03万元。2019年度树云中沟黑臭河道整治项目建设内容包括树云中沟总长约2.4公里的控源截污工程，疏浚清淤工程，生态修复工程、绿化补植工程及河岸景观工程。项目主要实施内容如下：</w:t>
      </w:r>
    </w:p>
    <w:tbl>
      <w:tblPr>
        <w:tblStyle w:val="15"/>
        <w:tblW w:w="7654" w:type="dxa"/>
        <w:tblInd w:w="534" w:type="dxa"/>
        <w:tblLayout w:type="fixed"/>
        <w:tblCellMar>
          <w:top w:w="0" w:type="dxa"/>
          <w:left w:w="108" w:type="dxa"/>
          <w:bottom w:w="0" w:type="dxa"/>
          <w:right w:w="108" w:type="dxa"/>
        </w:tblCellMar>
      </w:tblPr>
      <w:tblGrid>
        <w:gridCol w:w="3809"/>
        <w:gridCol w:w="3845"/>
      </w:tblGrid>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项目名称</w:t>
            </w:r>
          </w:p>
        </w:tc>
        <w:tc>
          <w:tcPr>
            <w:tcW w:w="3845"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建设数量</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b/>
                <w:bCs/>
                <w:kern w:val="0"/>
                <w:sz w:val="24"/>
                <w:szCs w:val="24"/>
              </w:rPr>
            </w:pPr>
            <w:r>
              <w:rPr>
                <w:rFonts w:hint="eastAsia" w:ascii="宋体" w:hAnsi="宋体" w:eastAsia="宋体" w:cs="宋体"/>
                <w:b/>
                <w:bCs/>
                <w:kern w:val="0"/>
                <w:sz w:val="24"/>
                <w:szCs w:val="24"/>
              </w:rPr>
              <w:t>一、控源截污工程</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截污井</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27座</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截留管道</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2375m</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填方</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12117m³</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挖方</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10820m³</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路面拆除修复</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6460m²</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b/>
                <w:bCs/>
                <w:kern w:val="0"/>
                <w:sz w:val="24"/>
                <w:szCs w:val="24"/>
              </w:rPr>
            </w:pPr>
            <w:r>
              <w:rPr>
                <w:rFonts w:hint="eastAsia" w:ascii="宋体" w:hAnsi="宋体" w:eastAsia="宋体" w:cs="宋体"/>
                <w:b/>
                <w:bCs/>
                <w:kern w:val="0"/>
                <w:sz w:val="24"/>
                <w:szCs w:val="24"/>
              </w:rPr>
              <w:t>二、疏浚清淤</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水力清淤量</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15860m³</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b/>
                <w:bCs/>
                <w:kern w:val="0"/>
                <w:sz w:val="24"/>
                <w:szCs w:val="24"/>
              </w:rPr>
            </w:pPr>
            <w:r>
              <w:rPr>
                <w:rFonts w:hint="eastAsia" w:ascii="宋体" w:hAnsi="宋体" w:eastAsia="宋体" w:cs="宋体"/>
                <w:b/>
                <w:bCs/>
                <w:kern w:val="0"/>
                <w:sz w:val="24"/>
                <w:szCs w:val="24"/>
              </w:rPr>
              <w:t>三、生态修复</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水生动物增殖放流</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2吨</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微生物菌群构建</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10000m²</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生态浮岛</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1800m²</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纳米增氧曝气机</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30台</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b/>
                <w:bCs/>
                <w:kern w:val="0"/>
                <w:sz w:val="24"/>
                <w:szCs w:val="24"/>
              </w:rPr>
            </w:pPr>
            <w:r>
              <w:rPr>
                <w:rFonts w:hint="eastAsia" w:ascii="宋体" w:hAnsi="宋体" w:eastAsia="宋体" w:cs="宋体"/>
                <w:b/>
                <w:bCs/>
                <w:kern w:val="0"/>
                <w:sz w:val="24"/>
                <w:szCs w:val="24"/>
              </w:rPr>
              <w:t>四、泵站工程</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泵站</w:t>
            </w:r>
          </w:p>
        </w:tc>
        <w:tc>
          <w:tcPr>
            <w:tcW w:w="38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2座</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b/>
                <w:bCs/>
                <w:kern w:val="0"/>
                <w:sz w:val="24"/>
                <w:szCs w:val="24"/>
              </w:rPr>
            </w:pPr>
            <w:r>
              <w:rPr>
                <w:rFonts w:hint="eastAsia" w:ascii="宋体" w:hAnsi="宋体" w:eastAsia="宋体" w:cs="宋体"/>
                <w:b/>
                <w:bCs/>
                <w:kern w:val="0"/>
                <w:sz w:val="24"/>
                <w:szCs w:val="24"/>
              </w:rPr>
              <w:t>五、绿化工程</w:t>
            </w:r>
          </w:p>
        </w:tc>
        <w:tc>
          <w:tcPr>
            <w:tcW w:w="38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景观绿化</w:t>
            </w:r>
          </w:p>
        </w:tc>
        <w:tc>
          <w:tcPr>
            <w:tcW w:w="38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13750m²</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土方凭证</w:t>
            </w:r>
          </w:p>
        </w:tc>
        <w:tc>
          <w:tcPr>
            <w:tcW w:w="38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24000m²</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道路</w:t>
            </w:r>
          </w:p>
        </w:tc>
        <w:tc>
          <w:tcPr>
            <w:tcW w:w="38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3800m²</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硬质广场</w:t>
            </w:r>
          </w:p>
        </w:tc>
        <w:tc>
          <w:tcPr>
            <w:tcW w:w="384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1650.8m²</w:t>
            </w:r>
          </w:p>
        </w:tc>
      </w:tr>
      <w:tr>
        <w:tblPrEx>
          <w:tblCellMar>
            <w:top w:w="0" w:type="dxa"/>
            <w:left w:w="108" w:type="dxa"/>
            <w:bottom w:w="0" w:type="dxa"/>
            <w:right w:w="108" w:type="dxa"/>
          </w:tblCellMar>
        </w:tblPrEx>
        <w:trPr>
          <w:trHeight w:val="285" w:hRule="atLeast"/>
        </w:trPr>
        <w:tc>
          <w:tcPr>
            <w:tcW w:w="380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景观桥</w:t>
            </w:r>
          </w:p>
        </w:tc>
        <w:tc>
          <w:tcPr>
            <w:tcW w:w="3845"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7座</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景观廊架</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3座</w:t>
            </w:r>
          </w:p>
        </w:tc>
      </w:tr>
      <w:tr>
        <w:tblPrEx>
          <w:tblCellMar>
            <w:top w:w="0" w:type="dxa"/>
            <w:left w:w="108" w:type="dxa"/>
            <w:bottom w:w="0" w:type="dxa"/>
            <w:right w:w="108" w:type="dxa"/>
          </w:tblCellMar>
        </w:tblPrEx>
        <w:trPr>
          <w:trHeight w:val="285" w:hRule="atLeast"/>
        </w:trPr>
        <w:tc>
          <w:tcPr>
            <w:tcW w:w="3809"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宋体" w:hAnsi="宋体" w:eastAsia="宋体" w:cs="宋体"/>
                <w:kern w:val="0"/>
                <w:sz w:val="24"/>
                <w:szCs w:val="24"/>
              </w:rPr>
            </w:pPr>
            <w:r>
              <w:rPr>
                <w:rFonts w:hint="eastAsia" w:ascii="宋体" w:hAnsi="宋体" w:eastAsia="宋体" w:cs="宋体"/>
                <w:kern w:val="0"/>
                <w:sz w:val="24"/>
                <w:szCs w:val="24"/>
              </w:rPr>
              <w:t>景观小品</w:t>
            </w:r>
          </w:p>
        </w:tc>
        <w:tc>
          <w:tcPr>
            <w:tcW w:w="384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1项</w:t>
            </w:r>
          </w:p>
        </w:tc>
      </w:tr>
    </w:tbl>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28" w:name="_Toc13561891"/>
      <w:bookmarkStart w:id="29" w:name="_Toc8115466"/>
      <w:bookmarkStart w:id="30" w:name="_Toc23310"/>
      <w:r>
        <w:rPr>
          <w:rFonts w:hint="eastAsia" w:ascii="方正楷体_GBK" w:hAnsi="方正楷体_GBK" w:eastAsia="方正楷体_GBK" w:cs="方正楷体_GBK"/>
          <w:b w:val="0"/>
          <w:bCs w:val="0"/>
          <w:sz w:val="32"/>
          <w:szCs w:val="32"/>
        </w:rPr>
        <w:t>（三）项目资金投入及使用情况</w:t>
      </w:r>
      <w:bookmarkEnd w:id="28"/>
      <w:bookmarkEnd w:id="29"/>
      <w:bookmarkEnd w:id="30"/>
    </w:p>
    <w:p>
      <w:pPr>
        <w:pStyle w:val="4"/>
        <w:pageBreakBefore w:val="0"/>
        <w:kinsoku/>
        <w:wordWrap/>
        <w:overflowPunct/>
        <w:topLinePunct w:val="0"/>
        <w:autoSpaceDE/>
        <w:autoSpaceDN/>
        <w:bidi w:val="0"/>
        <w:adjustRightInd/>
        <w:snapToGrid/>
        <w:spacing w:before="0" w:after="0" w:line="580" w:lineRule="exact"/>
        <w:ind w:firstLine="643" w:firstLineChars="200"/>
        <w:textAlignment w:val="auto"/>
        <w:rPr>
          <w:sz w:val="32"/>
          <w:szCs w:val="32"/>
        </w:rPr>
      </w:pPr>
      <w:bookmarkStart w:id="31" w:name="_Toc5136"/>
      <w:r>
        <w:rPr>
          <w:rFonts w:hint="eastAsia"/>
          <w:sz w:val="32"/>
          <w:szCs w:val="32"/>
        </w:rPr>
        <w:t>1、资金预算情况</w:t>
      </w:r>
      <w:bookmarkEnd w:id="31"/>
    </w:p>
    <w:p>
      <w:pPr>
        <w:pageBreakBefore w:val="0"/>
        <w:kinsoku/>
        <w:wordWrap/>
        <w:overflowPunct/>
        <w:topLinePunct w:val="0"/>
        <w:autoSpaceDE/>
        <w:autoSpaceDN/>
        <w:bidi w:val="0"/>
        <w:adjustRightInd/>
        <w:snapToGrid/>
        <w:spacing w:line="580" w:lineRule="exact"/>
        <w:ind w:firstLine="640" w:firstLineChars="200"/>
        <w:textAlignment w:val="auto"/>
        <w:rPr>
          <w:rFonts w:ascii="仿宋" w:hAnsi="仿宋" w:eastAsia="仿宋"/>
          <w:color w:val="333333"/>
          <w:sz w:val="32"/>
          <w:szCs w:val="32"/>
        </w:rPr>
      </w:pPr>
      <w:r>
        <w:rPr>
          <w:rFonts w:hint="eastAsia" w:ascii="仿宋" w:hAnsi="仿宋" w:eastAsia="仿宋"/>
          <w:color w:val="333333"/>
          <w:sz w:val="32"/>
          <w:szCs w:val="32"/>
        </w:rPr>
        <w:t>根据《灌云县2019年县级预算调整方案》，当年调增节能环保支出5000万元（新增一般债券用于县城市黑臭水体整治），灌云县城市黑臭水体整治工程（树云中沟河段）项目无单独的专项预算，项目经费在县城市黑臭水体整治专项中列支。依据《灌云县住房和城乡建设局关于对“灌云县城市黑臭水体整治工程项目”采用EPC招标模式的申请》中灌云县城市黑臭水体整治工程（树云中沟段）项目施工预算资金3000万元。</w:t>
      </w:r>
    </w:p>
    <w:p>
      <w:pPr>
        <w:pStyle w:val="4"/>
        <w:pageBreakBefore w:val="0"/>
        <w:kinsoku/>
        <w:wordWrap/>
        <w:overflowPunct/>
        <w:topLinePunct w:val="0"/>
        <w:autoSpaceDE/>
        <w:autoSpaceDN/>
        <w:bidi w:val="0"/>
        <w:adjustRightInd/>
        <w:snapToGrid/>
        <w:spacing w:before="0" w:after="0" w:line="580" w:lineRule="exact"/>
        <w:ind w:firstLine="643" w:firstLineChars="200"/>
        <w:textAlignment w:val="auto"/>
        <w:rPr>
          <w:sz w:val="32"/>
          <w:szCs w:val="32"/>
        </w:rPr>
      </w:pPr>
      <w:bookmarkStart w:id="32" w:name="_Toc28572"/>
      <w:r>
        <w:rPr>
          <w:rFonts w:hint="eastAsia"/>
          <w:sz w:val="32"/>
          <w:szCs w:val="32"/>
        </w:rPr>
        <w:t>2、资金使用情况</w:t>
      </w:r>
      <w:bookmarkEnd w:id="32"/>
    </w:p>
    <w:p>
      <w:pPr>
        <w:pageBreakBefore w:val="0"/>
        <w:kinsoku/>
        <w:wordWrap/>
        <w:overflowPunct/>
        <w:topLinePunct w:val="0"/>
        <w:autoSpaceDE/>
        <w:autoSpaceDN/>
        <w:bidi w:val="0"/>
        <w:adjustRightInd/>
        <w:snapToGrid/>
        <w:spacing w:line="580" w:lineRule="exact"/>
        <w:ind w:firstLine="640" w:firstLineChars="200"/>
        <w:jc w:val="left"/>
        <w:textAlignment w:val="auto"/>
        <w:rPr>
          <w:rFonts w:ascii="仿宋" w:hAnsi="仿宋" w:eastAsia="仿宋"/>
          <w:color w:val="333333"/>
          <w:sz w:val="32"/>
          <w:szCs w:val="32"/>
        </w:rPr>
      </w:pPr>
      <w:r>
        <w:rPr>
          <w:rFonts w:hint="eastAsia" w:ascii="仿宋" w:hAnsi="仿宋" w:eastAsia="仿宋"/>
          <w:color w:val="333333"/>
          <w:sz w:val="32"/>
          <w:szCs w:val="32"/>
        </w:rPr>
        <w:t>截止绩效评价日，灌云县城市黑臭水体整治工程2019年度专项资金5000万元已全部拨入灌云县住房和城乡建设局。2018年7月27日，灌云县城市黑臭水体整治工程（树云中沟段）采用EPC工程总承包的模式进行公开招标，最终确定江苏省交通工程集团有限公司为项目中标人，中标价格为2890.03万元，工程完工送审价为3547.36万元，审定价为2990.04万元。截止2020年9月，累计支付江苏省交通工程集团有限公司2900.67万元，未支付工程款89.71万元。</w:t>
      </w:r>
      <w:bookmarkStart w:id="33" w:name="_Toc13561892"/>
      <w:r>
        <w:rPr>
          <w:rFonts w:hint="eastAsia" w:ascii="仿宋" w:hAnsi="仿宋" w:eastAsia="仿宋"/>
          <w:color w:val="333333"/>
          <w:sz w:val="32"/>
          <w:szCs w:val="32"/>
        </w:rPr>
        <w:t>项目资金支出明细情况如下：</w:t>
      </w:r>
    </w:p>
    <w:tbl>
      <w:tblPr>
        <w:tblStyle w:val="15"/>
        <w:tblW w:w="8804" w:type="dxa"/>
        <w:tblInd w:w="93" w:type="dxa"/>
        <w:tblLayout w:type="fixed"/>
        <w:tblCellMar>
          <w:top w:w="0" w:type="dxa"/>
          <w:left w:w="108" w:type="dxa"/>
          <w:bottom w:w="0" w:type="dxa"/>
          <w:right w:w="108" w:type="dxa"/>
        </w:tblCellMar>
      </w:tblPr>
      <w:tblGrid>
        <w:gridCol w:w="1291"/>
        <w:gridCol w:w="1176"/>
        <w:gridCol w:w="1057"/>
        <w:gridCol w:w="1027"/>
        <w:gridCol w:w="1560"/>
        <w:gridCol w:w="1275"/>
        <w:gridCol w:w="1418"/>
      </w:tblGrid>
      <w:tr>
        <w:tblPrEx>
          <w:tblCellMar>
            <w:top w:w="0" w:type="dxa"/>
            <w:left w:w="108" w:type="dxa"/>
            <w:bottom w:w="0" w:type="dxa"/>
            <w:right w:w="108" w:type="dxa"/>
          </w:tblCellMar>
        </w:tblPrEx>
        <w:trPr>
          <w:trHeight w:val="285" w:hRule="atLeast"/>
        </w:trPr>
        <w:tc>
          <w:tcPr>
            <w:tcW w:w="1291"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4"/>
                <w:szCs w:val="24"/>
              </w:rPr>
            </w:pPr>
          </w:p>
        </w:tc>
        <w:tc>
          <w:tcPr>
            <w:tcW w:w="1176"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4"/>
                <w:szCs w:val="24"/>
              </w:rPr>
            </w:pPr>
          </w:p>
        </w:tc>
        <w:tc>
          <w:tcPr>
            <w:tcW w:w="1057"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4"/>
                <w:szCs w:val="24"/>
              </w:rPr>
            </w:pPr>
          </w:p>
        </w:tc>
        <w:tc>
          <w:tcPr>
            <w:tcW w:w="1027"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4"/>
                <w:szCs w:val="24"/>
              </w:rPr>
            </w:pPr>
          </w:p>
        </w:tc>
        <w:tc>
          <w:tcPr>
            <w:tcW w:w="1560"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4"/>
                <w:szCs w:val="24"/>
              </w:rPr>
            </w:pPr>
          </w:p>
        </w:tc>
        <w:tc>
          <w:tcPr>
            <w:tcW w:w="1275" w:type="dxa"/>
            <w:tcBorders>
              <w:top w:val="nil"/>
              <w:left w:val="nil"/>
              <w:bottom w:val="nil"/>
              <w:right w:val="nil"/>
            </w:tcBorders>
            <w:shd w:val="clear" w:color="auto" w:fill="auto"/>
            <w:noWrap/>
            <w:vAlign w:val="bottom"/>
          </w:tcPr>
          <w:p>
            <w:pPr>
              <w:widowControl/>
              <w:jc w:val="left"/>
              <w:rPr>
                <w:rFonts w:ascii="宋体" w:hAnsi="宋体" w:eastAsia="宋体" w:cs="宋体"/>
                <w:kern w:val="0"/>
                <w:sz w:val="24"/>
                <w:szCs w:val="24"/>
              </w:rPr>
            </w:pPr>
          </w:p>
        </w:tc>
        <w:tc>
          <w:tcPr>
            <w:tcW w:w="1418" w:type="dxa"/>
            <w:tcBorders>
              <w:top w:val="nil"/>
              <w:left w:val="nil"/>
              <w:bottom w:val="nil"/>
              <w:right w:val="nil"/>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单位：万元</w:t>
            </w:r>
          </w:p>
        </w:tc>
      </w:tr>
      <w:tr>
        <w:tblPrEx>
          <w:tblCellMar>
            <w:top w:w="0" w:type="dxa"/>
            <w:left w:w="108" w:type="dxa"/>
            <w:bottom w:w="0" w:type="dxa"/>
            <w:right w:w="108" w:type="dxa"/>
          </w:tblCellMar>
        </w:tblPrEx>
        <w:trPr>
          <w:trHeight w:val="285" w:hRule="atLeast"/>
        </w:trPr>
        <w:tc>
          <w:tcPr>
            <w:tcW w:w="129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仿宋" w:hAnsi="仿宋" w:eastAsia="仿宋" w:cs="宋体"/>
                <w:b/>
                <w:bCs/>
                <w:kern w:val="0"/>
                <w:sz w:val="24"/>
                <w:szCs w:val="24"/>
              </w:rPr>
            </w:pPr>
            <w:r>
              <w:rPr>
                <w:rFonts w:hint="eastAsia" w:ascii="仿宋" w:hAnsi="仿宋" w:eastAsia="仿宋" w:cs="宋体"/>
                <w:b/>
                <w:bCs/>
                <w:kern w:val="0"/>
                <w:sz w:val="24"/>
                <w:szCs w:val="24"/>
              </w:rPr>
              <w:t>付款时间</w:t>
            </w:r>
          </w:p>
        </w:tc>
        <w:tc>
          <w:tcPr>
            <w:tcW w:w="1176"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工程款</w:t>
            </w:r>
          </w:p>
        </w:tc>
        <w:tc>
          <w:tcPr>
            <w:tcW w:w="1057"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监理费</w:t>
            </w:r>
          </w:p>
        </w:tc>
        <w:tc>
          <w:tcPr>
            <w:tcW w:w="1027"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审计费</w:t>
            </w:r>
          </w:p>
        </w:tc>
        <w:tc>
          <w:tcPr>
            <w:tcW w:w="1560"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水质检测费</w:t>
            </w:r>
          </w:p>
        </w:tc>
        <w:tc>
          <w:tcPr>
            <w:tcW w:w="1275"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树苗补偿</w:t>
            </w:r>
          </w:p>
        </w:tc>
        <w:tc>
          <w:tcPr>
            <w:tcW w:w="1418" w:type="dxa"/>
            <w:tcBorders>
              <w:top w:val="single" w:color="auto" w:sz="4" w:space="0"/>
              <w:left w:val="nil"/>
              <w:bottom w:val="single" w:color="auto" w:sz="4" w:space="0"/>
              <w:right w:val="single" w:color="auto" w:sz="4" w:space="0"/>
            </w:tcBorders>
            <w:shd w:val="clear" w:color="auto" w:fill="auto"/>
            <w:noWrap/>
            <w:vAlign w:val="bottom"/>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合计</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2018.12</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289.00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289.00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2019.01</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360.00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360.00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2019.03</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380.02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380.02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2019.05</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470.65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470.65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2019.08</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234.35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234.35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2019.09</w:t>
            </w:r>
          </w:p>
        </w:tc>
        <w:tc>
          <w:tcPr>
            <w:tcW w:w="1176"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20.14 </w:t>
            </w:r>
          </w:p>
        </w:tc>
        <w:tc>
          <w:tcPr>
            <w:tcW w:w="1560"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0.58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20.72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2019.11</w:t>
            </w:r>
          </w:p>
        </w:tc>
        <w:tc>
          <w:tcPr>
            <w:tcW w:w="1176"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10.00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10.00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2019.12</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289.00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0.50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289.50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2020.01</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433.48 </w:t>
            </w:r>
          </w:p>
        </w:tc>
        <w:tc>
          <w:tcPr>
            <w:tcW w:w="1057"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15.12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448.60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2020.03</w:t>
            </w:r>
          </w:p>
        </w:tc>
        <w:tc>
          <w:tcPr>
            <w:tcW w:w="1176"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0.35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0.35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2020.06</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367.36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4.284</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371.644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2020.07</w:t>
            </w:r>
          </w:p>
        </w:tc>
        <w:tc>
          <w:tcPr>
            <w:tcW w:w="1176"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57"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4.28 </w:t>
            </w:r>
          </w:p>
        </w:tc>
        <w:tc>
          <w:tcPr>
            <w:tcW w:w="1027"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26.75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31.03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2020.09</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76.81 </w:t>
            </w:r>
          </w:p>
        </w:tc>
        <w:tc>
          <w:tcPr>
            <w:tcW w:w="105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027"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560"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275" w:type="dxa"/>
            <w:tcBorders>
              <w:top w:val="nil"/>
              <w:left w:val="nil"/>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76.81 </w:t>
            </w:r>
          </w:p>
        </w:tc>
      </w:tr>
      <w:tr>
        <w:tblPrEx>
          <w:tblCellMar>
            <w:top w:w="0" w:type="dxa"/>
            <w:left w:w="108" w:type="dxa"/>
            <w:bottom w:w="0" w:type="dxa"/>
            <w:right w:w="108" w:type="dxa"/>
          </w:tblCellMar>
        </w:tblPrEx>
        <w:trPr>
          <w:trHeight w:val="285" w:hRule="atLeast"/>
        </w:trPr>
        <w:tc>
          <w:tcPr>
            <w:tcW w:w="1291"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仿宋" w:hAnsi="仿宋" w:eastAsia="仿宋" w:cs="宋体"/>
                <w:kern w:val="0"/>
                <w:sz w:val="24"/>
                <w:szCs w:val="24"/>
              </w:rPr>
            </w:pPr>
            <w:r>
              <w:rPr>
                <w:rFonts w:hint="eastAsia" w:ascii="仿宋" w:hAnsi="仿宋" w:eastAsia="仿宋" w:cs="宋体"/>
                <w:kern w:val="0"/>
                <w:sz w:val="24"/>
                <w:szCs w:val="24"/>
              </w:rPr>
              <w:t>合计</w:t>
            </w:r>
          </w:p>
        </w:tc>
        <w:tc>
          <w:tcPr>
            <w:tcW w:w="1176"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2,900.67 </w:t>
            </w:r>
          </w:p>
        </w:tc>
        <w:tc>
          <w:tcPr>
            <w:tcW w:w="1057"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24.444 </w:t>
            </w:r>
          </w:p>
        </w:tc>
        <w:tc>
          <w:tcPr>
            <w:tcW w:w="1027"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46.89 </w:t>
            </w:r>
          </w:p>
        </w:tc>
        <w:tc>
          <w:tcPr>
            <w:tcW w:w="1560"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1.43 </w:t>
            </w:r>
          </w:p>
        </w:tc>
        <w:tc>
          <w:tcPr>
            <w:tcW w:w="1275"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10.00 </w:t>
            </w:r>
          </w:p>
        </w:tc>
        <w:tc>
          <w:tcPr>
            <w:tcW w:w="1418" w:type="dxa"/>
            <w:tcBorders>
              <w:top w:val="nil"/>
              <w:left w:val="nil"/>
              <w:bottom w:val="single" w:color="auto" w:sz="4" w:space="0"/>
              <w:right w:val="single" w:color="auto" w:sz="4" w:space="0"/>
            </w:tcBorders>
            <w:shd w:val="clear" w:color="auto" w:fill="auto"/>
            <w:noWrap/>
            <w:vAlign w:val="bottom"/>
          </w:tcPr>
          <w:p>
            <w:pPr>
              <w:widowControl/>
              <w:jc w:val="right"/>
              <w:rPr>
                <w:rFonts w:ascii="仿宋" w:hAnsi="仿宋" w:eastAsia="仿宋" w:cs="宋体"/>
                <w:kern w:val="0"/>
                <w:sz w:val="24"/>
                <w:szCs w:val="24"/>
              </w:rPr>
            </w:pPr>
            <w:r>
              <w:rPr>
                <w:rFonts w:hint="eastAsia" w:ascii="仿宋" w:hAnsi="仿宋" w:eastAsia="仿宋" w:cs="宋体"/>
                <w:kern w:val="0"/>
                <w:sz w:val="24"/>
                <w:szCs w:val="24"/>
              </w:rPr>
              <w:t xml:space="preserve">2982.674 </w:t>
            </w:r>
          </w:p>
        </w:tc>
      </w:tr>
    </w:tbl>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34" w:name="_Toc430"/>
      <w:r>
        <w:rPr>
          <w:rFonts w:hint="eastAsia" w:ascii="方正楷体_GBK" w:hAnsi="方正楷体_GBK" w:eastAsia="方正楷体_GBK" w:cs="方正楷体_GBK"/>
          <w:b w:val="0"/>
          <w:bCs w:val="0"/>
          <w:sz w:val="32"/>
          <w:szCs w:val="32"/>
        </w:rPr>
        <w:t>（四）</w:t>
      </w:r>
      <w:bookmarkStart w:id="35" w:name="_Toc13561894"/>
      <w:bookmarkStart w:id="36" w:name="_Toc8115468"/>
      <w:r>
        <w:rPr>
          <w:rFonts w:hint="eastAsia" w:ascii="方正楷体_GBK" w:hAnsi="方正楷体_GBK" w:eastAsia="方正楷体_GBK" w:cs="方正楷体_GBK"/>
          <w:b w:val="0"/>
          <w:bCs w:val="0"/>
          <w:sz w:val="32"/>
          <w:szCs w:val="32"/>
        </w:rPr>
        <w:t>项目绩效目标</w:t>
      </w:r>
      <w:bookmarkEnd w:id="34"/>
      <w:bookmarkEnd w:id="35"/>
      <w:bookmarkEnd w:id="36"/>
    </w:p>
    <w:p>
      <w:pPr>
        <w:pStyle w:val="4"/>
        <w:pageBreakBefore w:val="0"/>
        <w:kinsoku/>
        <w:wordWrap/>
        <w:overflowPunct/>
        <w:topLinePunct w:val="0"/>
        <w:autoSpaceDE/>
        <w:autoSpaceDN/>
        <w:bidi w:val="0"/>
        <w:adjustRightInd/>
        <w:snapToGrid/>
        <w:spacing w:before="0" w:after="0" w:line="580" w:lineRule="exact"/>
        <w:ind w:left="0" w:firstLine="643" w:firstLineChars="200"/>
        <w:textAlignment w:val="auto"/>
        <w:rPr>
          <w:rFonts w:hint="eastAsia" w:ascii="仿宋" w:hAnsi="仿宋" w:eastAsia="仿宋" w:cs="仿宋"/>
          <w:sz w:val="32"/>
          <w:szCs w:val="32"/>
        </w:rPr>
      </w:pPr>
      <w:bookmarkStart w:id="37" w:name="_Toc29702"/>
      <w:r>
        <w:rPr>
          <w:rFonts w:hint="eastAsia" w:ascii="仿宋" w:hAnsi="仿宋" w:eastAsia="仿宋" w:cs="仿宋"/>
          <w:sz w:val="32"/>
          <w:szCs w:val="32"/>
        </w:rPr>
        <w:t>1、项目总体目标</w:t>
      </w:r>
      <w:bookmarkEnd w:id="37"/>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河道水体质量得到明显改善，消除黑臭水体，疏通河道水系，引进活水，生态修复。河道消除黑臭，水体无异味、水质大幅度提升，建立长效管理机制，实现“河净、水清、岸绿、水活”，城市河滨空间绿化美化、人居环境明显改善、公众满意度显著提高</w:t>
      </w:r>
    </w:p>
    <w:p>
      <w:pPr>
        <w:pStyle w:val="4"/>
        <w:pageBreakBefore w:val="0"/>
        <w:kinsoku/>
        <w:wordWrap/>
        <w:overflowPunct/>
        <w:topLinePunct w:val="0"/>
        <w:autoSpaceDE/>
        <w:autoSpaceDN/>
        <w:bidi w:val="0"/>
        <w:adjustRightInd/>
        <w:snapToGrid/>
        <w:spacing w:before="0" w:after="0" w:line="580" w:lineRule="exact"/>
        <w:ind w:left="0" w:firstLine="643" w:firstLineChars="200"/>
        <w:textAlignment w:val="auto"/>
        <w:rPr>
          <w:rFonts w:hint="eastAsia" w:ascii="仿宋" w:hAnsi="仿宋" w:eastAsia="仿宋" w:cs="仿宋"/>
          <w:sz w:val="32"/>
          <w:szCs w:val="32"/>
        </w:rPr>
      </w:pPr>
      <w:bookmarkStart w:id="38" w:name="_Toc8003"/>
      <w:r>
        <w:rPr>
          <w:rFonts w:hint="eastAsia" w:ascii="仿宋" w:hAnsi="仿宋" w:eastAsia="仿宋" w:cs="仿宋"/>
          <w:sz w:val="32"/>
          <w:szCs w:val="32"/>
        </w:rPr>
        <w:t>2、年度绩效目标</w:t>
      </w:r>
      <w:bookmarkEnd w:id="38"/>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（1）投入与管理目标：预算资金足额到位、政府采购合规、设备巡检情况完善、招投标情况规范、跟踪审计情况规范、监理情况规范、固定资产管理情况规范。</w:t>
      </w:r>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2）产出目标：水力清淤量15860立方米，新建截留井量27座、新建景观廊架3座、新建泵站2座、生态浮岛面积1800平方米、微生物菌群构建10000平方米、景观绿化面积13750平方米、HDPE管道2375米、水生动物放养量2吨、新增纳米增氧曝气机30台、工程合规率100%、淤泥规范处置率100%、竣工验收合格率100%、工程计划施工及时性100%。</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kern w:val="2"/>
          <w:sz w:val="32"/>
          <w:szCs w:val="32"/>
        </w:rPr>
      </w:pPr>
      <w:r>
        <w:rPr>
          <w:rFonts w:hint="eastAsia" w:ascii="仿宋" w:hAnsi="仿宋" w:eastAsia="仿宋" w:cs="仿宋"/>
          <w:color w:val="333333"/>
          <w:kern w:val="2"/>
          <w:sz w:val="32"/>
          <w:szCs w:val="32"/>
        </w:rPr>
        <w:t>（3）效果目标：公众满意度≥90%、提供就业岗位≥50个、节能效益达标、水环境治理达标率100%。</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kern w:val="2"/>
          <w:sz w:val="32"/>
          <w:szCs w:val="32"/>
        </w:rPr>
      </w:pPr>
      <w:r>
        <w:rPr>
          <w:rFonts w:hint="eastAsia" w:ascii="仿宋" w:hAnsi="仿宋" w:eastAsia="仿宋" w:cs="仿宋"/>
          <w:color w:val="333333"/>
          <w:kern w:val="2"/>
          <w:sz w:val="32"/>
          <w:szCs w:val="32"/>
        </w:rPr>
        <w:t>（4）影响力目标：长效管理制度健全、项目责任制度健全、人力资源结构合理。</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rPr>
      </w:pPr>
      <w:bookmarkStart w:id="39" w:name="_Toc25326"/>
      <w:r>
        <w:rPr>
          <w:rFonts w:hint="eastAsia" w:ascii="方正黑体_GBK" w:hAnsi="方正黑体_GBK" w:eastAsia="方正黑体_GBK" w:cs="方正黑体_GBK"/>
          <w:b w:val="0"/>
          <w:bCs w:val="0"/>
          <w:sz w:val="32"/>
          <w:szCs w:val="32"/>
        </w:rPr>
        <w:t>二、项目组织实施情况</w:t>
      </w:r>
      <w:bookmarkEnd w:id="33"/>
      <w:bookmarkEnd w:id="39"/>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40" w:name="_Toc9020"/>
      <w:r>
        <w:rPr>
          <w:rFonts w:hint="eastAsia" w:ascii="方正楷体_GBK" w:hAnsi="方正楷体_GBK" w:eastAsia="方正楷体_GBK" w:cs="方正楷体_GBK"/>
          <w:b w:val="0"/>
          <w:bCs w:val="0"/>
          <w:sz w:val="32"/>
          <w:szCs w:val="32"/>
        </w:rPr>
        <w:t>（一）项目组织情况</w:t>
      </w:r>
      <w:bookmarkEnd w:id="40"/>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预算单位：灌云县住房和城乡建设局</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建设单位：灌云县住房和城乡建设局</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审批单位：灌云县发展和改革委员会  灌云县财政局</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拨款单位：灌云县财政局  </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施工单位：江苏省交通工程集团有限公司</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测绘单位：江苏省交通工程集团有限公司</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招标代理单位：建业恒安工程管理股份有限公司</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设计单位：苏交科集团股份有限公司</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勘察单位：江苏省交通工程集团有限公司</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检测单位：灌云县自来水水质检测中心</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监理单位：连云港华连建设工程监理有限公司</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审计单位：江苏信德工程管理咨询有限公司</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41" w:name="_Toc28180"/>
      <w:r>
        <w:rPr>
          <w:rFonts w:hint="eastAsia" w:ascii="方正楷体_GBK" w:hAnsi="方正楷体_GBK" w:eastAsia="方正楷体_GBK" w:cs="方正楷体_GBK"/>
          <w:b w:val="0"/>
          <w:bCs w:val="0"/>
          <w:sz w:val="32"/>
          <w:szCs w:val="32"/>
        </w:rPr>
        <w:t>（二）利益相关方</w:t>
      </w:r>
      <w:bookmarkEnd w:id="41"/>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建设单位、施工单位、社会公众等。</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42" w:name="_Toc8505"/>
      <w:r>
        <w:rPr>
          <w:rFonts w:hint="eastAsia" w:ascii="方正楷体_GBK" w:hAnsi="方正楷体_GBK" w:eastAsia="方正楷体_GBK" w:cs="方正楷体_GBK"/>
          <w:b w:val="0"/>
          <w:bCs w:val="0"/>
          <w:sz w:val="32"/>
          <w:szCs w:val="32"/>
        </w:rPr>
        <w:t>（三）项目管理情况</w:t>
      </w:r>
      <w:bookmarkEnd w:id="42"/>
      <w:r>
        <w:rPr>
          <w:rFonts w:hint="eastAsia" w:ascii="方正楷体_GBK" w:hAnsi="方正楷体_GBK" w:eastAsia="方正楷体_GBK" w:cs="方正楷体_GBK"/>
          <w:b w:val="0"/>
          <w:bCs w:val="0"/>
          <w:sz w:val="32"/>
          <w:szCs w:val="32"/>
        </w:rPr>
        <w:t xml:space="preserve">  </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灌云县城市黑臭水体整治工程（树云中沟段）由灌云县住房和城乡建设局负责建设。2018年4月23日，灌云县发展和改革委员会对县城市黑臭水体整治工程可行性研究报告进行了批复。项目代码：2018-320723-77-01-521206。项目总投资3.3亿元。根据《关于灌云县城市黑臭水体整治工程可行性研究报告的批复》，项目设计、勘察、监理、施工全部执行招投标程序。</w:t>
      </w:r>
    </w:p>
    <w:p>
      <w:pPr>
        <w:pStyle w:val="7"/>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b/>
          <w:sz w:val="32"/>
          <w:szCs w:val="32"/>
        </w:rPr>
      </w:pPr>
      <w:r>
        <w:rPr>
          <w:rFonts w:hint="eastAsia" w:ascii="仿宋" w:hAnsi="仿宋" w:eastAsia="仿宋" w:cs="仿宋"/>
          <w:sz w:val="32"/>
          <w:szCs w:val="32"/>
        </w:rPr>
        <w:t>灌云县住房和城乡建设局采用EPC工程总承包的模式进行公开招标、组织评委对投标方案评审，确定项目总承包单位江苏省交通工程集团有限公司，项目监理单位为连云港华连建设工程监理有限公司。县房建局对施工项目的安全、质量、进度、成本等都纳入管理，项目招投标材料、审计、竣工验收材料齐备。截止2019年底，县城市黑臭水体整治（树云中沟段）工作已全部完工并验收完成，2020年4月10日，由江苏信德工程管理咨询有限公司出具竣工结算审核报告。县住建局对黑臭河整治工程项目支出未进行单独核算，住建局经建科室根据工程进度、工程监理审批意见提出资金支付申请，经审批审核后由财务处审拨付资金至施工单位。</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rPr>
      </w:pPr>
      <w:bookmarkStart w:id="43" w:name="_Toc26611"/>
      <w:r>
        <w:rPr>
          <w:rFonts w:hint="eastAsia" w:ascii="方正黑体_GBK" w:hAnsi="方正黑体_GBK" w:eastAsia="方正黑体_GBK" w:cs="方正黑体_GBK"/>
          <w:b w:val="0"/>
          <w:bCs w:val="0"/>
          <w:sz w:val="32"/>
          <w:szCs w:val="32"/>
        </w:rPr>
        <w:t>三、评价工作开展情况</w:t>
      </w:r>
      <w:bookmarkEnd w:id="43"/>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44" w:name="_Toc25017"/>
      <w:r>
        <w:rPr>
          <w:rFonts w:hint="eastAsia" w:ascii="方正楷体_GBK" w:hAnsi="方正楷体_GBK" w:eastAsia="方正楷体_GBK" w:cs="方正楷体_GBK"/>
          <w:b w:val="0"/>
          <w:bCs w:val="0"/>
          <w:sz w:val="32"/>
          <w:szCs w:val="32"/>
        </w:rPr>
        <w:t>（一）绩效评价目的</w:t>
      </w:r>
      <w:bookmarkEnd w:id="44"/>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通过引入第三方开展绩效评价工作，独立、客观、公正地核查灌云县2019年度树云中沟黑臭河道整治项目的目标实现情况，系统、科学地考评项目资金支出效益及综合社会经济效果，总结项目资金使用中的主要经验及存在问题，提出有针对性和可操作性的政策建议，不断提高财政资金管理水平和使用效益，为预算安排提供重要依据。</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45" w:name="_Toc32565"/>
      <w:r>
        <w:rPr>
          <w:rFonts w:hint="eastAsia" w:ascii="方正楷体_GBK" w:hAnsi="方正楷体_GBK" w:eastAsia="方正楷体_GBK" w:cs="方正楷体_GBK"/>
          <w:b w:val="0"/>
          <w:bCs w:val="0"/>
          <w:sz w:val="32"/>
          <w:szCs w:val="32"/>
        </w:rPr>
        <w:t>（二）绩效评价原则、评价指标体系、评价方法</w:t>
      </w:r>
      <w:bookmarkEnd w:id="45"/>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本次绩效评价遵循分级负责、科学规范、公正公开、绩效相关、权责一致的原则。参照相关行业规范标准以及经过批准的可研报告、项目实施方案、初步设计方案确定的建设任务、质量标准及预期应实现的经济、社会、生态效益指标，按照统一尺度、量化打分的原则确定。</w:t>
      </w:r>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评价实行百分制，即绩效总分设定为满分100分。设置了项目决策、项目管理、项目产出及效益、债务管理四大类一级指标，下设10个二级指标，根据二级指标又具体细化出了33个三级指标。根据绩效评价指标将绩效评价等级设置为优（成效显著）、良（成效明显）、中（成效一般）、差（成效较差）四个等级；大于或等于90分的为优；80分（含）-90分的为良；60分（含）-80分的为中；小于60分的为差。</w:t>
      </w:r>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本次绩效评价实行自评和他评相结合的方式，采取目标比较法，公众评判法（公众问卷），调查法包括抽样调查、现场调查和问卷调查，抽样调查是从评价对象的全部项目中，抽取一部分项目进行考察和分析，并用这部分项目的数量特征去推断全部项目的数量特征；现场调查是通过现场检查、测量和检验等方法，对工程质量项目效益等进行复核性评价；问卷调查是针对项目区利益相关方有关的事项，采取问卷调查，对调查结果进行统计、分析和评定。通过对项目评价指标进行量化测评，比较项目的实际效果和预定目标，从而分析出绩效目标的完成情况，确定项目的绩效评价结果。</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46" w:name="_Toc26690"/>
      <w:r>
        <w:rPr>
          <w:rFonts w:hint="eastAsia" w:ascii="方正楷体_GBK" w:hAnsi="方正楷体_GBK" w:eastAsia="方正楷体_GBK" w:cs="方正楷体_GBK"/>
          <w:b w:val="0"/>
          <w:bCs w:val="0"/>
          <w:sz w:val="32"/>
          <w:szCs w:val="32"/>
        </w:rPr>
        <w:t>（三）绩效评价工作过程</w:t>
      </w:r>
      <w:bookmarkEnd w:id="46"/>
    </w:p>
    <w:p>
      <w:pPr>
        <w:pStyle w:val="4"/>
        <w:pageBreakBefore w:val="0"/>
        <w:kinsoku/>
        <w:wordWrap/>
        <w:overflowPunct/>
        <w:topLinePunct w:val="0"/>
        <w:autoSpaceDE/>
        <w:autoSpaceDN/>
        <w:bidi w:val="0"/>
        <w:adjustRightInd/>
        <w:snapToGrid/>
        <w:spacing w:before="0" w:after="0" w:line="580" w:lineRule="exact"/>
        <w:ind w:left="0" w:firstLine="643" w:firstLineChars="200"/>
        <w:textAlignment w:val="auto"/>
        <w:rPr>
          <w:rFonts w:hint="eastAsia" w:ascii="仿宋" w:hAnsi="仿宋" w:eastAsia="仿宋" w:cs="仿宋"/>
          <w:sz w:val="32"/>
          <w:szCs w:val="32"/>
        </w:rPr>
      </w:pPr>
      <w:bookmarkStart w:id="47" w:name="_Toc713"/>
      <w:r>
        <w:rPr>
          <w:rFonts w:hint="eastAsia" w:ascii="仿宋" w:hAnsi="仿宋" w:eastAsia="仿宋" w:cs="仿宋"/>
          <w:sz w:val="32"/>
          <w:szCs w:val="32"/>
        </w:rPr>
        <w:t>1、前期准备</w:t>
      </w:r>
      <w:bookmarkEnd w:id="47"/>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2019年8月26日项目评价工作进场会，并制订工作方案，对照</w:t>
      </w:r>
      <w:r>
        <w:rPr>
          <w:rFonts w:hint="eastAsia" w:ascii="仿宋" w:hAnsi="仿宋" w:eastAsia="仿宋" w:cs="仿宋"/>
          <w:sz w:val="32"/>
          <w:szCs w:val="32"/>
        </w:rPr>
        <w:t>《江苏省城市黑臭水体整治考核评价暂行办法》，确定需要收集的2019年度县</w:t>
      </w:r>
      <w:r>
        <w:rPr>
          <w:rFonts w:hint="eastAsia" w:ascii="仿宋" w:hAnsi="仿宋" w:eastAsia="仿宋" w:cs="仿宋"/>
          <w:color w:val="333333"/>
          <w:sz w:val="32"/>
          <w:szCs w:val="32"/>
        </w:rPr>
        <w:t>黑臭河整治项目相关的资料与数据。明确评价项目实施的主要政策依据和绩效评价的目标、任务和工作量；研发绩效评价指标体系和基础数据采集表，设计满意率调查问卷，拟定绩效评价实施方案，组织评价专业人员。</w:t>
      </w:r>
    </w:p>
    <w:p>
      <w:pPr>
        <w:pStyle w:val="4"/>
        <w:pageBreakBefore w:val="0"/>
        <w:kinsoku/>
        <w:wordWrap/>
        <w:overflowPunct/>
        <w:topLinePunct w:val="0"/>
        <w:autoSpaceDE/>
        <w:autoSpaceDN/>
        <w:bidi w:val="0"/>
        <w:adjustRightInd/>
        <w:snapToGrid/>
        <w:spacing w:before="0" w:after="0" w:line="580" w:lineRule="exact"/>
        <w:ind w:left="0" w:firstLine="643" w:firstLineChars="200"/>
        <w:textAlignment w:val="auto"/>
        <w:rPr>
          <w:rFonts w:hint="eastAsia" w:ascii="仿宋" w:hAnsi="仿宋" w:eastAsia="仿宋" w:cs="仿宋"/>
          <w:sz w:val="32"/>
          <w:szCs w:val="32"/>
        </w:rPr>
      </w:pPr>
      <w:bookmarkStart w:id="48" w:name="_Toc9116"/>
      <w:r>
        <w:rPr>
          <w:rFonts w:hint="eastAsia" w:ascii="仿宋" w:hAnsi="仿宋" w:eastAsia="仿宋" w:cs="仿宋"/>
          <w:sz w:val="32"/>
          <w:szCs w:val="32"/>
        </w:rPr>
        <w:t>2、组织实施</w:t>
      </w:r>
      <w:bookmarkEnd w:id="48"/>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2019年9月对县住房和城乡建设局进行项目了解，查看项目资料，包括可行性研究报告、招投标资料、施工合同、项目验收资料、项目后期管护资料等，了解项目管理过程并进行评价。并深入现场核查，了解项目河道全面查看项目建设和现场管护情况，随机抽查树云中沟河段项目实施情况。对树云中沟2.4公里河道进行全程实地调查、询问、采集基础数据，核实财务资料，发放相关问卷， 并对收集的资料进行汇总整理，统计满意度问卷调查。</w:t>
      </w:r>
    </w:p>
    <w:p>
      <w:pPr>
        <w:pStyle w:val="4"/>
        <w:pageBreakBefore w:val="0"/>
        <w:kinsoku/>
        <w:wordWrap/>
        <w:overflowPunct/>
        <w:topLinePunct w:val="0"/>
        <w:autoSpaceDE/>
        <w:autoSpaceDN/>
        <w:bidi w:val="0"/>
        <w:adjustRightInd/>
        <w:snapToGrid/>
        <w:spacing w:before="0" w:after="0" w:line="580" w:lineRule="exact"/>
        <w:ind w:left="0" w:firstLine="643" w:firstLineChars="200"/>
        <w:textAlignment w:val="auto"/>
        <w:rPr>
          <w:rFonts w:hint="eastAsia" w:ascii="仿宋" w:hAnsi="仿宋" w:eastAsia="仿宋" w:cs="仿宋"/>
          <w:sz w:val="32"/>
          <w:szCs w:val="32"/>
        </w:rPr>
      </w:pPr>
      <w:bookmarkStart w:id="49" w:name="_Toc23453"/>
      <w:r>
        <w:rPr>
          <w:rFonts w:hint="eastAsia" w:ascii="仿宋" w:hAnsi="仿宋" w:eastAsia="仿宋" w:cs="仿宋"/>
          <w:sz w:val="32"/>
          <w:szCs w:val="32"/>
        </w:rPr>
        <w:t>3、分析评价</w:t>
      </w:r>
      <w:bookmarkEnd w:id="49"/>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结合以上举措掌握评测实际情况，实事求是填报绩效评价评分表，根据评分表，结合现场建设实际，认真撰写绩效评价报告，向委托方汇报，根据委托方要求进行补充修改，最终形成绩效评价综合结论。</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rPr>
      </w:pPr>
      <w:bookmarkStart w:id="50" w:name="_Toc24858"/>
      <w:r>
        <w:rPr>
          <w:rFonts w:hint="eastAsia" w:ascii="方正黑体_GBK" w:hAnsi="方正黑体_GBK" w:eastAsia="方正黑体_GBK" w:cs="方正黑体_GBK"/>
          <w:b w:val="0"/>
          <w:bCs w:val="0"/>
          <w:sz w:val="32"/>
          <w:szCs w:val="32"/>
        </w:rPr>
        <w:t>四、评价指标分析</w:t>
      </w:r>
      <w:bookmarkEnd w:id="50"/>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color w:val="333333"/>
          <w:sz w:val="32"/>
          <w:szCs w:val="32"/>
        </w:rPr>
        <w:t>2019年度灌云县树云中沟黑臭河整治项目财政支出绩效评价主要是对财政资金管理与使用情况及整个项目产生的绩效进行客观、公正的评价。具体的评价内容主要包括项目决策、项目管理、项目产出和效益、债务管理。</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51" w:name="_Toc4435"/>
      <w:r>
        <w:rPr>
          <w:rFonts w:hint="eastAsia" w:ascii="方正楷体_GBK" w:hAnsi="方正楷体_GBK" w:eastAsia="方正楷体_GBK" w:cs="方正楷体_GBK"/>
          <w:b w:val="0"/>
          <w:bCs w:val="0"/>
          <w:sz w:val="32"/>
          <w:szCs w:val="32"/>
        </w:rPr>
        <w:t>（一）项目决策</w:t>
      </w:r>
      <w:bookmarkEnd w:id="51"/>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b/>
          <w:color w:val="333333"/>
          <w:sz w:val="32"/>
          <w:szCs w:val="32"/>
        </w:rPr>
      </w:pPr>
      <w:r>
        <w:rPr>
          <w:rFonts w:hint="eastAsia" w:ascii="仿宋" w:hAnsi="仿宋" w:eastAsia="仿宋" w:cs="仿宋"/>
          <w:color w:val="333333"/>
          <w:sz w:val="32"/>
          <w:szCs w:val="32"/>
        </w:rPr>
        <w:t>项目决策主要从项目立项、项目目标、预算编制三个维度进行评价，指标权重8分。根据项目实际情况，项目立项主要考察立项规范性指标，项目目标主要考察目标合理性和指标明确性两个指标，预算编制主要考察预算编制科学性、资金分配合理性两个指标。</w:t>
      </w:r>
    </w:p>
    <w:p>
      <w:pPr>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立项规范性</w:t>
      </w:r>
      <w:r>
        <w:rPr>
          <w:rFonts w:hint="eastAsia" w:ascii="仿宋" w:hAnsi="仿宋" w:eastAsia="仿宋" w:cs="仿宋"/>
          <w:color w:val="333333"/>
          <w:sz w:val="32"/>
          <w:szCs w:val="32"/>
        </w:rPr>
        <w:t>指标考察内容主要是立项流程是否完整，立项依据是否符合相关法规文件的要求。灌云县黑臭河整治项目符合《国务院关于引发水污染防治行动计划的通知》（国发[2015]17号）、住房城乡建设部、环保部《城市黑臭水体整治工作指南》建城[2015]130号等相关政策文件的要求，灌云县黑臭河整治项目可行性研究报告于2018年4月通过了灌云县发展和改革委员会的批复。经评价，项目立项依据充分，流程规范，该指标满分1分，得分1分。</w:t>
      </w:r>
    </w:p>
    <w:p>
      <w:pPr>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目标合理性</w:t>
      </w:r>
      <w:r>
        <w:rPr>
          <w:rFonts w:hint="eastAsia" w:ascii="仿宋" w:hAnsi="仿宋" w:eastAsia="仿宋" w:cs="仿宋"/>
          <w:color w:val="333333"/>
          <w:sz w:val="32"/>
          <w:szCs w:val="32"/>
        </w:rPr>
        <w:t>指标主要考察项目绩效目标吻合财政资金投入方向和地方实际需求程度。灌云县黑臭水体整治（树云中沟段）项目“河道水体质量得到明显改善，消除黑臭水体，疏通河道水系，引进活水，生态修复。实现‘河净、水清、岸绿、水活’”的总体目标是合理的,能购满足灌云县黑臭河道整治（树云中沟段）的总体需求。该项指标满分2分，得分2分。</w:t>
      </w:r>
    </w:p>
    <w:p>
      <w:pPr>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指标明确性</w:t>
      </w:r>
      <w:r>
        <w:rPr>
          <w:rFonts w:hint="eastAsia" w:ascii="仿宋" w:hAnsi="仿宋" w:eastAsia="仿宋" w:cs="仿宋"/>
          <w:color w:val="333333"/>
          <w:sz w:val="32"/>
          <w:szCs w:val="32"/>
        </w:rPr>
        <w:t>则考察项目绩效目标可量化和可测量程度。灌云县黑臭河整治（树云中沟段）项目“投入与管理目标”、产出目标、效果目标和影响力目标有明确的可量化指标和可测量程度。该指标满分2分，得分2分。</w:t>
      </w:r>
    </w:p>
    <w:p>
      <w:pPr>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sz w:val="32"/>
          <w:szCs w:val="32"/>
        </w:rPr>
      </w:pPr>
      <w:r>
        <w:rPr>
          <w:rFonts w:hint="eastAsia" w:ascii="仿宋" w:hAnsi="仿宋" w:eastAsia="仿宋" w:cs="仿宋"/>
          <w:b/>
          <w:color w:val="333333"/>
          <w:sz w:val="32"/>
          <w:szCs w:val="32"/>
        </w:rPr>
        <w:t>预算编制科学性</w:t>
      </w:r>
      <w:r>
        <w:rPr>
          <w:rFonts w:hint="eastAsia" w:ascii="仿宋" w:hAnsi="仿宋" w:eastAsia="仿宋" w:cs="仿宋"/>
          <w:color w:val="333333"/>
          <w:sz w:val="32"/>
          <w:szCs w:val="32"/>
        </w:rPr>
        <w:t>指标考察预算编制是否经过科学论证；预算内容与项目内容是否匹配；预算额度测算依据是否充分，是否按照标准编制；预算确定的项目投资额或资金量是否与工作任务相匹配。</w:t>
      </w:r>
      <w:r>
        <w:rPr>
          <w:rFonts w:hint="eastAsia" w:ascii="仿宋" w:hAnsi="仿宋" w:eastAsia="仿宋" w:cs="仿宋"/>
          <w:sz w:val="32"/>
          <w:szCs w:val="32"/>
        </w:rPr>
        <w:t>由于未单独设立树云中沟黑臭河整治项目，且黑臭河整治项目预算额度与工程量不能匹配，该指标满分2分，得分1分。</w:t>
      </w:r>
    </w:p>
    <w:p>
      <w:pPr>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color w:val="FF0000"/>
          <w:sz w:val="32"/>
          <w:szCs w:val="32"/>
        </w:rPr>
      </w:pPr>
      <w:r>
        <w:rPr>
          <w:rFonts w:hint="eastAsia" w:ascii="仿宋" w:hAnsi="仿宋" w:eastAsia="仿宋" w:cs="仿宋"/>
          <w:b/>
          <w:sz w:val="32"/>
          <w:szCs w:val="32"/>
        </w:rPr>
        <w:t>资金分配合理性</w:t>
      </w:r>
      <w:r>
        <w:rPr>
          <w:rFonts w:hint="eastAsia" w:ascii="仿宋" w:hAnsi="仿宋" w:eastAsia="仿宋" w:cs="仿宋"/>
          <w:color w:val="333333"/>
          <w:sz w:val="32"/>
          <w:szCs w:val="32"/>
        </w:rPr>
        <w:t>指标考察项目预算资金分配是否有测算依据，与补助单位或地方实际是否相适应，用以反映和考核项目预算资金分配的科学性、合理性情况。因黑臭河整治项目未对各河道整治工程进行资金详细分配，该指标不得分。</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52" w:name="_Toc8971"/>
      <w:r>
        <w:rPr>
          <w:rFonts w:hint="eastAsia" w:ascii="方正楷体_GBK" w:hAnsi="方正楷体_GBK" w:eastAsia="方正楷体_GBK" w:cs="方正楷体_GBK"/>
          <w:b w:val="0"/>
          <w:bCs w:val="0"/>
          <w:sz w:val="32"/>
          <w:szCs w:val="32"/>
        </w:rPr>
        <w:t>（二）项目管理</w:t>
      </w:r>
      <w:bookmarkEnd w:id="52"/>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项目管理主要从项目资金管理和项目业务管理两个维度对树云中沟黑臭河整治项目管理进行评价，指标权重25分。项目资金管理维度设置了“预算执行率”、“资金使用率”、“财务管理有效性”、“资金使用合规度”四个指标，项目业务管理维度设置了“项目管理制度健全性”、“项目管理制度执行有效性”、“项目后期维护情况”、“工程计划施工及时性”四个指标。</w:t>
      </w:r>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 xml:space="preserve">    </w:t>
      </w:r>
      <w:r>
        <w:rPr>
          <w:rFonts w:hint="eastAsia" w:ascii="仿宋" w:hAnsi="仿宋" w:eastAsia="仿宋" w:cs="仿宋"/>
          <w:b/>
          <w:color w:val="333333"/>
          <w:sz w:val="32"/>
          <w:szCs w:val="32"/>
        </w:rPr>
        <w:t>“资金使用率”</w:t>
      </w:r>
      <w:r>
        <w:rPr>
          <w:rFonts w:hint="eastAsia" w:ascii="仿宋" w:hAnsi="仿宋" w:eastAsia="仿宋" w:cs="仿宋"/>
          <w:color w:val="333333"/>
          <w:sz w:val="32"/>
          <w:szCs w:val="32"/>
        </w:rPr>
        <w:t>： 依据《灌云县住房和城乡建设局关于对“灌云县城市黑臭水体整治工程项目”采用EPC招标模式的申请》中灌云县城市黑臭水体整治工程（树云中沟段）项目施工预算资金3000万元。</w:t>
      </w:r>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由于灌云县住建局财务未对专项资金设置专账核算，未提供树云中沟黑臭整治项目支出明细账，评价组依据经建科室提供付款台账进行评价，2019年树云中沟黑臭整治项目总支出</w:t>
      </w:r>
      <w:r>
        <w:rPr>
          <w:rFonts w:hint="eastAsia" w:ascii="仿宋" w:hAnsi="仿宋" w:eastAsia="仿宋" w:cs="仿宋"/>
          <w:sz w:val="32"/>
          <w:szCs w:val="32"/>
        </w:rPr>
        <w:t>2982.674万</w:t>
      </w:r>
      <w:r>
        <w:rPr>
          <w:rFonts w:hint="eastAsia" w:ascii="仿宋" w:hAnsi="仿宋" w:eastAsia="仿宋" w:cs="仿宋"/>
          <w:color w:val="333333"/>
          <w:sz w:val="32"/>
          <w:szCs w:val="32"/>
        </w:rPr>
        <w:t>元，资金使用率99.42%。该指标满分3分，得分3分。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“预算执行率”：</w:t>
      </w:r>
      <w:r>
        <w:rPr>
          <w:rFonts w:hint="eastAsia" w:ascii="仿宋" w:hAnsi="仿宋" w:eastAsia="仿宋" w:cs="仿宋"/>
          <w:color w:val="333333"/>
          <w:sz w:val="32"/>
          <w:szCs w:val="32"/>
        </w:rPr>
        <w:t>2019年灌云县新增一般债券5000万元用于县城市黑臭水体整治项目，截止2019年12月31日，5000万元专项资金全部到账，项目资金拨付完成率100.00%。满分3分，得分3分。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sz w:val="32"/>
          <w:szCs w:val="32"/>
        </w:rPr>
      </w:pPr>
      <w:r>
        <w:rPr>
          <w:rFonts w:hint="eastAsia" w:ascii="仿宋" w:hAnsi="仿宋" w:eastAsia="仿宋" w:cs="仿宋"/>
          <w:b/>
          <w:color w:val="333333"/>
          <w:kern w:val="2"/>
          <w:sz w:val="32"/>
          <w:szCs w:val="32"/>
        </w:rPr>
        <w:t>“财务管理有效性”：</w:t>
      </w:r>
      <w:r>
        <w:rPr>
          <w:rFonts w:hint="eastAsia" w:ascii="仿宋" w:hAnsi="仿宋" w:eastAsia="仿宋" w:cs="仿宋"/>
          <w:color w:val="333333"/>
          <w:kern w:val="2"/>
          <w:sz w:val="32"/>
          <w:szCs w:val="32"/>
        </w:rPr>
        <w:t>财务报销手续健全，但县住建局财务未能对专项资金专账核算，关于黑臭河道治理专项资金仅参照一般财务制度标准执行，指标满分3分，得分2分。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“资金使用合规性”：</w:t>
      </w:r>
      <w:r>
        <w:rPr>
          <w:rFonts w:hint="eastAsia" w:ascii="仿宋" w:hAnsi="仿宋" w:eastAsia="仿宋" w:cs="仿宋"/>
          <w:color w:val="333333"/>
          <w:sz w:val="32"/>
          <w:szCs w:val="32"/>
        </w:rPr>
        <w:t>根据县住建局提供的项目资金付款台账，并将之与财务原始凭证核对，每笔资金支出均有相关资金支付审批表、付款申请单、中标通知单、合同、工程计量报审表等，审批手续完整，符合预算批复用途，未发现资金截留、挤占、挪用、虚列支出等情况，资金使用合规，该指标满分3分，得分3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kern w:val="2"/>
          <w:sz w:val="32"/>
          <w:szCs w:val="32"/>
        </w:rPr>
      </w:pPr>
      <w:r>
        <w:rPr>
          <w:rFonts w:hint="eastAsia" w:ascii="仿宋" w:hAnsi="仿宋" w:eastAsia="仿宋" w:cs="仿宋"/>
          <w:b/>
          <w:color w:val="333333"/>
          <w:kern w:val="2"/>
          <w:sz w:val="32"/>
          <w:szCs w:val="32"/>
        </w:rPr>
        <w:t>“项目管理制度健全性”</w:t>
      </w:r>
      <w:r>
        <w:rPr>
          <w:rFonts w:hint="eastAsia" w:ascii="仿宋" w:hAnsi="仿宋" w:eastAsia="仿宋" w:cs="仿宋"/>
          <w:b/>
          <w:sz w:val="32"/>
          <w:szCs w:val="32"/>
        </w:rPr>
        <w:t>：</w:t>
      </w:r>
      <w:r>
        <w:rPr>
          <w:rFonts w:hint="eastAsia" w:ascii="仿宋" w:hAnsi="仿宋" w:eastAsia="仿宋" w:cs="仿宋"/>
          <w:color w:val="333333"/>
          <w:kern w:val="2"/>
          <w:sz w:val="32"/>
          <w:szCs w:val="32"/>
        </w:rPr>
        <w:t>该项目依据黑臭河道工程批复以及《灌云县黑臭水体整治实施方案》进行招标、设计、施工，</w:t>
      </w:r>
      <w:r>
        <w:rPr>
          <w:rFonts w:hint="eastAsia" w:ascii="仿宋" w:hAnsi="仿宋" w:eastAsia="仿宋" w:cs="仿宋"/>
          <w:kern w:val="2"/>
          <w:sz w:val="32"/>
          <w:szCs w:val="32"/>
        </w:rPr>
        <w:t>未出台具体针对项目管理部门职责、文件资料管理、质量管理、进度控制管理、工程成本控制管理、工地安全、文明施工管理、工程竣工验收及移交管理等文件规定，沿用国家部委出台的相关管理制度，未出台项目具体管理制度，项目管理制度健全有待加强。该指标存在一定偏差，满分4分，得分3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color w:val="333333"/>
          <w:kern w:val="2"/>
          <w:sz w:val="32"/>
          <w:szCs w:val="32"/>
        </w:rPr>
      </w:pPr>
      <w:r>
        <w:rPr>
          <w:rFonts w:hint="eastAsia" w:ascii="仿宋" w:hAnsi="仿宋" w:eastAsia="仿宋" w:cs="仿宋"/>
          <w:b/>
          <w:color w:val="333333"/>
          <w:kern w:val="2"/>
          <w:sz w:val="32"/>
          <w:szCs w:val="32"/>
        </w:rPr>
        <w:t xml:space="preserve"> “项目管理制度执行有效性”：</w:t>
      </w:r>
      <w:r>
        <w:rPr>
          <w:rFonts w:hint="eastAsia" w:ascii="仿宋" w:hAnsi="仿宋" w:eastAsia="仿宋" w:cs="仿宋"/>
          <w:color w:val="333333"/>
          <w:kern w:val="2"/>
          <w:sz w:val="32"/>
          <w:szCs w:val="32"/>
        </w:rPr>
        <w:t>通过资料核查、实地核查等方式，县住建局作为项目单位，履行了其管理职责，但还存在项目计划调整变更手续不够规范的情况，指标满分4分，得分3分。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sz w:val="32"/>
          <w:szCs w:val="32"/>
        </w:rPr>
      </w:pPr>
      <w:r>
        <w:rPr>
          <w:rFonts w:hint="eastAsia" w:ascii="仿宋" w:hAnsi="仿宋" w:eastAsia="仿宋" w:cs="仿宋"/>
          <w:b/>
          <w:sz w:val="32"/>
          <w:szCs w:val="32"/>
        </w:rPr>
        <w:t xml:space="preserve"> “项目后期维护情况”</w:t>
      </w:r>
      <w:r>
        <w:rPr>
          <w:rFonts w:hint="eastAsia" w:ascii="仿宋" w:hAnsi="仿宋" w:eastAsia="仿宋" w:cs="仿宋"/>
          <w:sz w:val="32"/>
          <w:szCs w:val="32"/>
        </w:rPr>
        <w:t>：该指标主要考察树云中沟黑臭河整治工程完工后项目后期维护、长效管理情况，从落实保洁人员、明确河长与职责、经费与机制、建立巡查监管制度等几个方面来进行评价。树云中沟黑臭整治工程完工后河道保洁由环卫部门负责，依据《关于调整伊山镇河长制河长人员的通知》（伊发[2020]74号文）文件规定，赵斌同志任伊山镇负总河长，负责树云中沟河道管护，截止绩效评价日，尚未落实树云中沟河道长效管理经费及制度。该指标满分5分，得分3分。</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53" w:name="_Toc6500"/>
      <w:r>
        <w:rPr>
          <w:rFonts w:hint="eastAsia" w:ascii="方正楷体_GBK" w:hAnsi="方正楷体_GBK" w:eastAsia="方正楷体_GBK" w:cs="方正楷体_GBK"/>
          <w:b w:val="0"/>
          <w:bCs w:val="0"/>
          <w:sz w:val="32"/>
          <w:szCs w:val="32"/>
        </w:rPr>
        <w:t>（三）项目产出及效益</w:t>
      </w:r>
      <w:bookmarkEnd w:id="53"/>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项目产出及效益从项目产出、项目效果和社会影响力三个维度进行评价，指标权重63分。</w:t>
      </w:r>
    </w:p>
    <w:p>
      <w:pPr>
        <w:pStyle w:val="35"/>
        <w:pageBreakBefore w:val="0"/>
        <w:numPr>
          <w:ilvl w:val="0"/>
          <w:numId w:val="1"/>
        </w:numPr>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项目产出</w:t>
      </w:r>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项目产出维度设置了“河道清淤”、“新建截留井量”、“新建泵站”、“HDPE管道”、“微生物菌群构建”“增设纳米增氧曝气机”、“新建景观小品”、“水生动物放养量”、“景观绿化面积”、“新建景观廊架”、“生态浮岛面积”等11个指标，指标值22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“河道清淤”：</w:t>
      </w:r>
      <w:r>
        <w:rPr>
          <w:rFonts w:hint="eastAsia" w:ascii="仿宋" w:hAnsi="仿宋" w:eastAsia="仿宋" w:cs="仿宋"/>
          <w:sz w:val="32"/>
          <w:szCs w:val="32"/>
        </w:rPr>
        <w:t>清淤量计划15860立方米，实际完成工程量16613.76立方米。满分2分，得分2分。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“新建截留井量”：</w:t>
      </w:r>
      <w:r>
        <w:rPr>
          <w:rFonts w:hint="eastAsia" w:ascii="仿宋" w:hAnsi="仿宋" w:eastAsia="仿宋" w:cs="仿宋"/>
          <w:sz w:val="32"/>
          <w:szCs w:val="32"/>
        </w:rPr>
        <w:t>新建截留井工程量计划27座，实际27座。，满分2分，得分2分。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“新建泵站”：</w:t>
      </w:r>
      <w:r>
        <w:rPr>
          <w:rFonts w:hint="eastAsia" w:ascii="仿宋" w:hAnsi="仿宋" w:eastAsia="仿宋" w:cs="仿宋"/>
          <w:kern w:val="0"/>
          <w:sz w:val="32"/>
          <w:szCs w:val="32"/>
        </w:rPr>
        <w:t>新建泵站工程量计划2座，实际完成2座。满分2分，得分2分。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“HDPE管道”：</w:t>
      </w:r>
      <w:r>
        <w:rPr>
          <w:rFonts w:hint="eastAsia" w:ascii="仿宋" w:hAnsi="仿宋" w:eastAsia="仿宋" w:cs="仿宋"/>
          <w:kern w:val="0"/>
          <w:sz w:val="32"/>
          <w:szCs w:val="32"/>
        </w:rPr>
        <w:t xml:space="preserve"> HDPE管道工程量设计2375米，实际完成2375米。满分2分，得分2分。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“微生物菌群构建”：</w:t>
      </w:r>
      <w:r>
        <w:rPr>
          <w:rFonts w:hint="eastAsia" w:ascii="仿宋" w:hAnsi="仿宋" w:eastAsia="仿宋" w:cs="仿宋"/>
          <w:kern w:val="0"/>
          <w:sz w:val="32"/>
          <w:szCs w:val="32"/>
        </w:rPr>
        <w:t>微生物菌群构建工程量设计10000平方米，实际完成10000平方米</w:t>
      </w:r>
      <w:r>
        <w:rPr>
          <w:rFonts w:hint="eastAsia" w:ascii="仿宋" w:hAnsi="仿宋" w:eastAsia="仿宋" w:cs="仿宋"/>
          <w:b/>
          <w:kern w:val="0"/>
          <w:sz w:val="32"/>
          <w:szCs w:val="32"/>
        </w:rPr>
        <w:t>。</w:t>
      </w:r>
      <w:r>
        <w:rPr>
          <w:rFonts w:hint="eastAsia" w:ascii="仿宋" w:hAnsi="仿宋" w:eastAsia="仿宋" w:cs="仿宋"/>
          <w:kern w:val="0"/>
          <w:sz w:val="32"/>
          <w:szCs w:val="32"/>
        </w:rPr>
        <w:t>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“增设纳米增氧曝气机”：</w:t>
      </w:r>
      <w:r>
        <w:rPr>
          <w:rFonts w:hint="eastAsia" w:ascii="仿宋" w:hAnsi="仿宋" w:eastAsia="仿宋" w:cs="仿宋"/>
          <w:kern w:val="0"/>
          <w:sz w:val="32"/>
          <w:szCs w:val="32"/>
        </w:rPr>
        <w:t>计划增设纳米增氧曝气机工程量设计30台，实际完成8台。满分2分，得分0分。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“新建景观小品”：</w:t>
      </w:r>
      <w:r>
        <w:rPr>
          <w:rFonts w:hint="eastAsia" w:ascii="仿宋" w:hAnsi="仿宋" w:eastAsia="仿宋" w:cs="仿宋"/>
          <w:kern w:val="0"/>
          <w:sz w:val="32"/>
          <w:szCs w:val="32"/>
        </w:rPr>
        <w:t xml:space="preserve"> 计划新建景观小品工程量设计1项，实际完成1项。满分2分，得分2分。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“水生动物放养量”：</w:t>
      </w:r>
      <w:r>
        <w:rPr>
          <w:rFonts w:hint="eastAsia" w:ascii="仿宋" w:hAnsi="仿宋" w:eastAsia="仿宋" w:cs="仿宋"/>
          <w:kern w:val="0"/>
          <w:sz w:val="32"/>
          <w:szCs w:val="32"/>
        </w:rPr>
        <w:t>水生动物放养量工程量设计2吨，实际完成2吨。满分2分，得分2分。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“景观绿化面积”：</w:t>
      </w:r>
      <w:r>
        <w:rPr>
          <w:rFonts w:hint="eastAsia" w:ascii="仿宋" w:hAnsi="仿宋" w:eastAsia="仿宋" w:cs="仿宋"/>
          <w:kern w:val="0"/>
          <w:sz w:val="32"/>
          <w:szCs w:val="32"/>
        </w:rPr>
        <w:t>计划景观绿化面积工程量设计13750平方米，实际完成13750平方米。满分2分，得分2分。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“新建景观廊架”：</w:t>
      </w:r>
      <w:r>
        <w:rPr>
          <w:rFonts w:hint="eastAsia" w:ascii="仿宋" w:hAnsi="仿宋" w:eastAsia="仿宋" w:cs="仿宋"/>
          <w:kern w:val="0"/>
          <w:sz w:val="32"/>
          <w:szCs w:val="32"/>
        </w:rPr>
        <w:t>新建景观廊架工程量设计为3座，实际完成3座。满分2分，得分2分。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“生态浮岛面积”：</w:t>
      </w:r>
      <w:r>
        <w:rPr>
          <w:rFonts w:hint="eastAsia" w:ascii="仿宋" w:hAnsi="仿宋" w:eastAsia="仿宋" w:cs="仿宋"/>
          <w:kern w:val="0"/>
          <w:sz w:val="32"/>
          <w:szCs w:val="32"/>
        </w:rPr>
        <w:t>生态浮岛面积工程量设计为1800平方米，实际完成3700平方米。因此该指标无偏差，满分2分，得分2分。</w:t>
      </w:r>
    </w:p>
    <w:p>
      <w:pPr>
        <w:pStyle w:val="35"/>
        <w:pageBreakBefore w:val="0"/>
        <w:widowControl/>
        <w:numPr>
          <w:ilvl w:val="0"/>
          <w:numId w:val="1"/>
        </w:numPr>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b/>
          <w:sz w:val="32"/>
          <w:szCs w:val="32"/>
        </w:rPr>
      </w:pPr>
      <w:r>
        <w:rPr>
          <w:rFonts w:hint="eastAsia" w:ascii="仿宋" w:hAnsi="仿宋" w:eastAsia="仿宋" w:cs="仿宋"/>
          <w:b/>
          <w:sz w:val="32"/>
          <w:szCs w:val="32"/>
        </w:rPr>
        <w:t>项目效果</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在项目效果维度设置了“竣工验收合规率”、 “河水观感质量”、 “水质检测达标率”、 “水况可持续保护”、“工程计划开竣工及时性”、“设备使用率”六个指标，指标值29分。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kern w:val="0"/>
          <w:sz w:val="32"/>
          <w:szCs w:val="32"/>
        </w:rPr>
        <w:t>“竣工验收合格率”：</w:t>
      </w:r>
      <w:r>
        <w:rPr>
          <w:rFonts w:hint="eastAsia" w:ascii="仿宋" w:hAnsi="仿宋" w:eastAsia="仿宋" w:cs="仿宋"/>
          <w:kern w:val="0"/>
          <w:sz w:val="32"/>
          <w:szCs w:val="32"/>
        </w:rPr>
        <w:t>依据竣工验收证书，县城市黑臭水体整治工程验收范围包括控源截污工程、疏浚清淤工程、泵站工程、生态修费工程、绿化补植、绿化景观工程、景观照明工程、道路铺装、生态景观设施、廊桥西侧新增工程，对工程质量评价：本工程符合设计图纸及国家有关标准规范要求，工程质量达到国家及行业现行施工验收规范合格标准，满足使用要求。工程验收合格，但绿化方面存在枯死苗木的问题，满分6分，得分5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kern w:val="0"/>
          <w:sz w:val="32"/>
          <w:szCs w:val="32"/>
        </w:rPr>
        <w:t>“河水观感质量”：</w:t>
      </w:r>
      <w:r>
        <w:rPr>
          <w:rFonts w:hint="eastAsia" w:ascii="仿宋" w:hAnsi="仿宋" w:eastAsia="仿宋" w:cs="仿宋"/>
          <w:color w:val="333333"/>
          <w:sz w:val="32"/>
          <w:szCs w:val="32"/>
        </w:rPr>
        <w:t>现场检查发现，树云中沟河道整治后，短期内不存在黑臭现象，但是仍有部分河段水面较为混浊，通过绩效调查问卷，也有居民反映水质不太好，故该指标存在一点偏差。指标满分6分，得分4分。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kern w:val="0"/>
          <w:sz w:val="32"/>
          <w:szCs w:val="32"/>
        </w:rPr>
        <w:t>“水质检测达标率”：</w:t>
      </w:r>
      <w:r>
        <w:rPr>
          <w:rFonts w:hint="eastAsia" w:ascii="仿宋" w:hAnsi="仿宋" w:eastAsia="仿宋" w:cs="仿宋"/>
          <w:color w:val="333333"/>
          <w:sz w:val="32"/>
          <w:szCs w:val="32"/>
        </w:rPr>
        <w:t>按照《城市黑臭水体整治工作指南》中关于城市黑臭水体污染程度分级标准：</w:t>
      </w:r>
    </w:p>
    <w:p>
      <w:pPr>
        <w:keepNext w:val="0"/>
        <w:keepLines w:val="0"/>
        <w:pageBreakBefore w:val="0"/>
        <w:widowControl/>
        <w:kinsoku/>
        <w:wordWrap/>
        <w:overflowPunct/>
        <w:topLinePunct w:val="0"/>
        <w:autoSpaceDE/>
        <w:autoSpaceDN/>
        <w:bidi w:val="0"/>
        <w:adjustRightInd/>
        <w:snapToGrid/>
        <w:spacing w:line="580" w:lineRule="exact"/>
        <w:ind w:left="0" w:firstLine="0" w:firstLineChars="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 xml:space="preserve">特征指标（ 单位    五类水标准       检测结果 </w:t>
      </w:r>
    </w:p>
    <w:p>
      <w:pPr>
        <w:keepNext w:val="0"/>
        <w:keepLines w:val="0"/>
        <w:pageBreakBefore w:val="0"/>
        <w:widowControl/>
        <w:kinsoku/>
        <w:wordWrap/>
        <w:overflowPunct/>
        <w:topLinePunct w:val="0"/>
        <w:autoSpaceDE/>
        <w:autoSpaceDN/>
        <w:bidi w:val="0"/>
        <w:adjustRightInd/>
        <w:snapToGrid/>
        <w:spacing w:line="580" w:lineRule="exact"/>
        <w:ind w:left="0" w:firstLine="0" w:firstLineChars="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溶解氧（mg/L）        ≥2</w:t>
      </w:r>
    </w:p>
    <w:p>
      <w:pPr>
        <w:keepNext w:val="0"/>
        <w:keepLines w:val="0"/>
        <w:pageBreakBefore w:val="0"/>
        <w:widowControl/>
        <w:kinsoku/>
        <w:wordWrap/>
        <w:overflowPunct/>
        <w:topLinePunct w:val="0"/>
        <w:autoSpaceDE/>
        <w:autoSpaceDN/>
        <w:bidi w:val="0"/>
        <w:adjustRightInd/>
        <w:snapToGrid/>
        <w:spacing w:line="580" w:lineRule="exact"/>
        <w:ind w:left="0" w:firstLine="0" w:firstLineChars="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化学需氧量（COD）     ≤40</w:t>
      </w:r>
    </w:p>
    <w:p>
      <w:pPr>
        <w:keepNext w:val="0"/>
        <w:keepLines w:val="0"/>
        <w:pageBreakBefore w:val="0"/>
        <w:widowControl/>
        <w:kinsoku/>
        <w:wordWrap/>
        <w:overflowPunct/>
        <w:topLinePunct w:val="0"/>
        <w:autoSpaceDE/>
        <w:autoSpaceDN/>
        <w:bidi w:val="0"/>
        <w:adjustRightInd/>
        <w:snapToGrid/>
        <w:spacing w:line="580" w:lineRule="exact"/>
        <w:ind w:left="0" w:firstLine="0" w:firstLineChars="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 xml:space="preserve">氨氮（mg/L）          ≤2.0   </w:t>
      </w:r>
      <w:r>
        <w:rPr>
          <w:rFonts w:hint="eastAsia" w:ascii="仿宋" w:hAnsi="仿宋" w:eastAsia="仿宋" w:cs="仿宋"/>
          <w:color w:val="333333"/>
          <w:spacing w:val="-11"/>
          <w:sz w:val="32"/>
          <w:szCs w:val="32"/>
        </w:rPr>
        <w:t>0.30   0.11   0.15  0.34</w:t>
      </w:r>
    </w:p>
    <w:p>
      <w:pPr>
        <w:keepNext w:val="0"/>
        <w:keepLines w:val="0"/>
        <w:pageBreakBefore w:val="0"/>
        <w:widowControl/>
        <w:kinsoku/>
        <w:wordWrap/>
        <w:overflowPunct/>
        <w:topLinePunct w:val="0"/>
        <w:autoSpaceDE/>
        <w:autoSpaceDN/>
        <w:bidi w:val="0"/>
        <w:adjustRightInd/>
        <w:snapToGrid/>
        <w:spacing w:line="580" w:lineRule="exact"/>
        <w:ind w:left="0" w:firstLine="0" w:firstLineChars="0"/>
        <w:jc w:val="left"/>
        <w:textAlignment w:val="auto"/>
        <w:rPr>
          <w:rFonts w:hint="eastAsia" w:ascii="仿宋" w:hAnsi="仿宋" w:eastAsia="仿宋" w:cs="仿宋"/>
          <w:color w:val="333333"/>
          <w:spacing w:val="-11"/>
          <w:sz w:val="32"/>
          <w:szCs w:val="32"/>
        </w:rPr>
      </w:pPr>
      <w:r>
        <w:rPr>
          <w:rFonts w:hint="eastAsia" w:ascii="仿宋" w:hAnsi="仿宋" w:eastAsia="仿宋" w:cs="仿宋"/>
          <w:color w:val="333333"/>
          <w:sz w:val="32"/>
          <w:szCs w:val="32"/>
        </w:rPr>
        <w:t xml:space="preserve">PH值                  6-9   </w:t>
      </w:r>
      <w:r>
        <w:rPr>
          <w:rFonts w:hint="eastAsia" w:ascii="仿宋" w:hAnsi="仿宋" w:eastAsia="仿宋" w:cs="仿宋"/>
          <w:color w:val="333333"/>
          <w:spacing w:val="-11"/>
          <w:sz w:val="32"/>
          <w:szCs w:val="32"/>
        </w:rPr>
        <w:t>8.45   8.33   7.85  8.02</w:t>
      </w:r>
    </w:p>
    <w:p>
      <w:pPr>
        <w:keepNext w:val="0"/>
        <w:keepLines w:val="0"/>
        <w:pageBreakBefore w:val="0"/>
        <w:widowControl/>
        <w:kinsoku/>
        <w:wordWrap/>
        <w:overflowPunct/>
        <w:topLinePunct w:val="0"/>
        <w:autoSpaceDE/>
        <w:autoSpaceDN/>
        <w:bidi w:val="0"/>
        <w:adjustRightInd/>
        <w:snapToGrid/>
        <w:spacing w:line="580" w:lineRule="exact"/>
        <w:ind w:left="0" w:firstLine="0" w:firstLineChars="0"/>
        <w:jc w:val="left"/>
        <w:textAlignment w:val="auto"/>
        <w:rPr>
          <w:rFonts w:hint="eastAsia" w:ascii="仿宋" w:hAnsi="仿宋" w:eastAsia="仿宋" w:cs="仿宋"/>
          <w:color w:val="333333"/>
          <w:spacing w:val="-11"/>
          <w:sz w:val="32"/>
          <w:szCs w:val="32"/>
        </w:rPr>
      </w:pPr>
      <w:r>
        <w:rPr>
          <w:rFonts w:hint="eastAsia" w:ascii="仿宋" w:hAnsi="仿宋" w:eastAsia="仿宋" w:cs="仿宋"/>
          <w:color w:val="333333"/>
          <w:sz w:val="32"/>
          <w:szCs w:val="32"/>
        </w:rPr>
        <w:t xml:space="preserve">耗氧量（mg/L）          6       </w:t>
      </w:r>
      <w:r>
        <w:rPr>
          <w:rFonts w:hint="eastAsia" w:ascii="仿宋" w:hAnsi="仿宋" w:eastAsia="仿宋" w:cs="仿宋"/>
          <w:color w:val="333333"/>
          <w:spacing w:val="-11"/>
          <w:sz w:val="32"/>
          <w:szCs w:val="32"/>
        </w:rPr>
        <w:t>3.94   2.74   4.99  3.93</w:t>
      </w:r>
    </w:p>
    <w:p>
      <w:pPr>
        <w:pageBreakBefore w:val="0"/>
        <w:widowControl/>
        <w:kinsoku/>
        <w:wordWrap/>
        <w:overflowPunct/>
        <w:topLinePunct w:val="0"/>
        <w:autoSpaceDE/>
        <w:autoSpaceDN/>
        <w:bidi w:val="0"/>
        <w:adjustRightInd/>
        <w:snapToGrid/>
        <w:spacing w:line="580" w:lineRule="exact"/>
        <w:ind w:left="0"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依据灌云县自来水水质检测中心检测报告，树云中沟水质达到五类水标准，该指标满分6分，得分6分。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“水况可持续保护”：</w:t>
      </w:r>
      <w:r>
        <w:rPr>
          <w:rFonts w:hint="eastAsia" w:ascii="仿宋" w:hAnsi="仿宋" w:eastAsia="仿宋" w:cs="仿宋"/>
          <w:kern w:val="0"/>
          <w:sz w:val="32"/>
          <w:szCs w:val="32"/>
        </w:rPr>
        <w:t>现场评价发现，树云中沟部分河段河面有漂浮物，水质较混浊，通过调查问卷也有居民反映水质不太好，偶尔还有污水排入，水狂可持续保护指标有偏差，满分6分，得4分。</w:t>
      </w:r>
    </w:p>
    <w:p>
      <w:pPr>
        <w:pStyle w:val="7"/>
        <w:pageBreakBefore w:val="0"/>
        <w:kinsoku/>
        <w:wordWrap/>
        <w:overflowPunct/>
        <w:topLinePunct w:val="0"/>
        <w:autoSpaceDE/>
        <w:autoSpaceDN/>
        <w:bidi w:val="0"/>
        <w:adjustRightInd/>
        <w:snapToGrid/>
        <w:spacing w:line="580" w:lineRule="exact"/>
        <w:ind w:left="0" w:firstLine="643" w:firstLineChars="200"/>
        <w:textAlignment w:val="auto"/>
        <w:rPr>
          <w:rFonts w:hint="eastAsia" w:ascii="仿宋" w:hAnsi="仿宋" w:eastAsia="仿宋" w:cs="仿宋"/>
          <w:b/>
          <w:sz w:val="32"/>
          <w:szCs w:val="32"/>
        </w:rPr>
      </w:pPr>
      <w:r>
        <w:rPr>
          <w:rFonts w:hint="eastAsia" w:ascii="仿宋" w:hAnsi="仿宋" w:eastAsia="仿宋" w:cs="仿宋"/>
          <w:b/>
          <w:sz w:val="32"/>
          <w:szCs w:val="32"/>
        </w:rPr>
        <w:t>“工程计划开竣工及时性”：</w:t>
      </w:r>
      <w:r>
        <w:rPr>
          <w:rFonts w:hint="eastAsia" w:ascii="仿宋" w:hAnsi="仿宋" w:eastAsia="仿宋" w:cs="仿宋"/>
          <w:sz w:val="32"/>
          <w:szCs w:val="32"/>
        </w:rPr>
        <w:t>灌云县黑臭河道整治（树云中沟段）报建时间为2018年5月28日，依据总承包合同，设计计划开工日期：2018年9月1日，施工开竣工日期：2018年10月1日至2018年12月29日。依据《灌云县城市黑臭水体整治工程（树云中沟标段）EPC工程竣工结算审核报告》和竣工验收证书，项目2018年8月29日开工，2019年9月28日竣工，2020年4月10日出具项目竣工决算审核报告。该项目未按计划竣工，该指标满分2分，得1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kern w:val="0"/>
          <w:sz w:val="32"/>
          <w:szCs w:val="32"/>
        </w:rPr>
      </w:pPr>
      <w:r>
        <w:rPr>
          <w:rFonts w:hint="eastAsia" w:ascii="仿宋" w:hAnsi="仿宋" w:eastAsia="仿宋" w:cs="仿宋"/>
          <w:b/>
          <w:kern w:val="0"/>
          <w:sz w:val="32"/>
          <w:szCs w:val="32"/>
        </w:rPr>
        <w:t>“设备使用率”：</w:t>
      </w:r>
      <w:r>
        <w:rPr>
          <w:rFonts w:hint="eastAsia" w:ascii="仿宋" w:hAnsi="仿宋" w:eastAsia="仿宋" w:cs="仿宋"/>
          <w:kern w:val="0"/>
          <w:sz w:val="32"/>
          <w:szCs w:val="32"/>
        </w:rPr>
        <w:t>该指标用于评价项目购买设备使用情况，现场考察8台纳米增氧曝气机仅有一台运转，设备使用率12.5%，经了解是因为沿岸居民噪音投诉，暂未使用。该指标满分3分，得1.5分。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b/>
          <w:color w:val="333333"/>
          <w:sz w:val="32"/>
          <w:szCs w:val="32"/>
        </w:rPr>
      </w:pPr>
      <w:r>
        <w:rPr>
          <w:rFonts w:hint="eastAsia" w:ascii="仿宋" w:hAnsi="仿宋" w:eastAsia="仿宋" w:cs="仿宋"/>
          <w:b/>
          <w:color w:val="333333"/>
          <w:sz w:val="32"/>
          <w:szCs w:val="32"/>
        </w:rPr>
        <w:t>（3）社会影响力</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b/>
          <w:color w:val="333333"/>
          <w:sz w:val="32"/>
          <w:szCs w:val="32"/>
        </w:rPr>
      </w:pPr>
      <w:r>
        <w:rPr>
          <w:rFonts w:hint="eastAsia" w:ascii="仿宋" w:hAnsi="仿宋" w:eastAsia="仿宋" w:cs="仿宋"/>
          <w:b/>
          <w:color w:val="333333"/>
          <w:sz w:val="32"/>
          <w:szCs w:val="32"/>
        </w:rPr>
        <w:t>在社会影响力维度设置了“建设单位满意度”和“居民满意度”两个指标，指标值为12分。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“建设单位满意度”</w:t>
      </w:r>
      <w:r>
        <w:rPr>
          <w:rFonts w:hint="eastAsia" w:ascii="仿宋" w:hAnsi="仿宋" w:eastAsia="仿宋" w:cs="仿宋"/>
          <w:color w:val="333333"/>
          <w:sz w:val="32"/>
          <w:szCs w:val="32"/>
        </w:rPr>
        <w:t xml:space="preserve"> 本次满意度问卷针对树云中沟河道水质情况、河面整洁度、河水异臭度、长效保持状况、整治后水体整体满意度等内容进行了满意度调查。问卷结果显示，项目建设单位对施工的整体满意度为100.00%，满意度较高，该指标满分2分，得2分。</w:t>
      </w:r>
    </w:p>
    <w:p>
      <w:pPr>
        <w:pageBreakBefore w:val="0"/>
        <w:widowControl/>
        <w:kinsoku/>
        <w:wordWrap/>
        <w:overflowPunct/>
        <w:topLinePunct w:val="0"/>
        <w:autoSpaceDE/>
        <w:autoSpaceDN/>
        <w:bidi w:val="0"/>
        <w:adjustRightInd/>
        <w:snapToGrid/>
        <w:spacing w:line="580" w:lineRule="exact"/>
        <w:ind w:left="0" w:firstLine="643" w:firstLineChars="200"/>
        <w:jc w:val="left"/>
        <w:textAlignment w:val="auto"/>
        <w:rPr>
          <w:rFonts w:hint="eastAsia" w:ascii="仿宋" w:hAnsi="仿宋" w:eastAsia="仿宋" w:cs="仿宋"/>
          <w:color w:val="333333"/>
          <w:sz w:val="32"/>
          <w:szCs w:val="32"/>
        </w:rPr>
      </w:pPr>
      <w:r>
        <w:rPr>
          <w:rFonts w:hint="eastAsia" w:ascii="仿宋" w:hAnsi="仿宋" w:eastAsia="仿宋" w:cs="仿宋"/>
          <w:b/>
          <w:color w:val="333333"/>
          <w:sz w:val="32"/>
          <w:szCs w:val="32"/>
        </w:rPr>
        <w:t>“居民满意度”：</w:t>
      </w:r>
      <w:r>
        <w:rPr>
          <w:rFonts w:hint="eastAsia" w:ascii="仿宋" w:hAnsi="仿宋" w:eastAsia="仿宋" w:cs="仿宋"/>
          <w:color w:val="333333"/>
          <w:sz w:val="32"/>
          <w:szCs w:val="32"/>
        </w:rPr>
        <w:t>本次满意度问卷针对树云中沟河道水质情况、河面整洁度、河水异臭度、长效保持状况、整治后水体整体满意度等内容进行了满意度调查。问卷结果显示，周围居民对施工的整体满意度为84.28%，该指标满分10分，得8.4分。</w:t>
      </w:r>
    </w:p>
    <w:p>
      <w:pPr>
        <w:pStyle w:val="4"/>
        <w:pageBreakBefore w:val="0"/>
        <w:kinsoku/>
        <w:wordWrap/>
        <w:overflowPunct/>
        <w:topLinePunct w:val="0"/>
        <w:autoSpaceDE/>
        <w:autoSpaceDN/>
        <w:bidi w:val="0"/>
        <w:adjustRightInd/>
        <w:snapToGrid/>
        <w:spacing w:before="0" w:after="0" w:line="580" w:lineRule="exact"/>
        <w:ind w:left="0" w:firstLine="640" w:firstLineChars="200"/>
        <w:textAlignment w:val="auto"/>
        <w:rPr>
          <w:rFonts w:hint="eastAsia" w:ascii="仿宋" w:hAnsi="仿宋" w:eastAsia="仿宋" w:cs="仿宋"/>
          <w:sz w:val="32"/>
          <w:szCs w:val="32"/>
        </w:rPr>
      </w:pPr>
      <w:bookmarkStart w:id="54" w:name="_Toc15302"/>
      <w:r>
        <w:rPr>
          <w:rFonts w:hint="eastAsia" w:ascii="仿宋" w:hAnsi="仿宋" w:eastAsia="仿宋" w:cs="仿宋"/>
          <w:b w:val="0"/>
          <w:bCs w:val="0"/>
          <w:sz w:val="32"/>
          <w:szCs w:val="32"/>
        </w:rPr>
        <w:t>4、</w:t>
      </w:r>
      <w:r>
        <w:rPr>
          <w:rFonts w:hint="eastAsia" w:ascii="仿宋" w:hAnsi="仿宋" w:eastAsia="仿宋" w:cs="仿宋"/>
          <w:sz w:val="32"/>
          <w:szCs w:val="32"/>
        </w:rPr>
        <w:t>债务管理</w:t>
      </w:r>
      <w:bookmarkEnd w:id="54"/>
    </w:p>
    <w:p>
      <w:pPr>
        <w:pStyle w:val="35"/>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树云中沟黑臭河整治项目使用了债券资金，从</w:t>
      </w:r>
      <w:r>
        <w:rPr>
          <w:rFonts w:hint="eastAsia" w:ascii="仿宋" w:hAnsi="仿宋" w:eastAsia="仿宋" w:cs="仿宋"/>
          <w:b/>
          <w:color w:val="333333"/>
          <w:sz w:val="32"/>
          <w:szCs w:val="32"/>
        </w:rPr>
        <w:t>债务预算管理和债务决策管理</w:t>
      </w:r>
      <w:r>
        <w:rPr>
          <w:rFonts w:hint="eastAsia" w:ascii="仿宋" w:hAnsi="仿宋" w:eastAsia="仿宋" w:cs="仿宋"/>
          <w:color w:val="333333"/>
          <w:sz w:val="32"/>
          <w:szCs w:val="32"/>
        </w:rPr>
        <w:t>两个维度进行评价，指标权重4分。</w:t>
      </w:r>
      <w:r>
        <w:rPr>
          <w:rFonts w:hint="eastAsia" w:ascii="仿宋" w:hAnsi="仿宋" w:eastAsia="仿宋" w:cs="仿宋"/>
          <w:b/>
          <w:color w:val="333333"/>
          <w:sz w:val="32"/>
          <w:szCs w:val="32"/>
        </w:rPr>
        <w:t>债务预算管理</w:t>
      </w:r>
      <w:r>
        <w:rPr>
          <w:rFonts w:hint="eastAsia" w:ascii="仿宋" w:hAnsi="仿宋" w:eastAsia="仿宋" w:cs="仿宋"/>
          <w:color w:val="333333"/>
          <w:sz w:val="32"/>
          <w:szCs w:val="32"/>
        </w:rPr>
        <w:t>指标主要考察灌云县政府是否将从上级政府转贷的债务收入、安排的支出等列入预算调增方案,报本级人民代表大会常委委员会批准;一般债务预算收支是否纳入本级财政预算管理信息系统。经评价，灌云县树云中沟黑臭河道整治项目债务预算管理规范，该指标满分2分，得分2分；</w:t>
      </w:r>
      <w:r>
        <w:rPr>
          <w:rFonts w:hint="eastAsia" w:ascii="仿宋" w:hAnsi="仿宋" w:eastAsia="仿宋" w:cs="仿宋"/>
          <w:b/>
          <w:color w:val="333333"/>
          <w:sz w:val="32"/>
          <w:szCs w:val="32"/>
        </w:rPr>
        <w:t>债务决策管理</w:t>
      </w:r>
      <w:r>
        <w:rPr>
          <w:rFonts w:hint="eastAsia" w:ascii="仿宋" w:hAnsi="仿宋" w:eastAsia="仿宋" w:cs="仿宋"/>
          <w:color w:val="333333"/>
          <w:sz w:val="32"/>
          <w:szCs w:val="32"/>
        </w:rPr>
        <w:t>指标主要考察债务申请、债务风险评定、审批等程序是否合规。评价组未见债务风险评定、审批等相关债务决策资料，该指标满分2分，得分1分。</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rPr>
      </w:pPr>
      <w:bookmarkStart w:id="55" w:name="_Toc27789"/>
      <w:r>
        <w:rPr>
          <w:rFonts w:hint="eastAsia" w:ascii="方正黑体_GBK" w:hAnsi="方正黑体_GBK" w:eastAsia="方正黑体_GBK" w:cs="方正黑体_GBK"/>
          <w:b w:val="0"/>
          <w:bCs w:val="0"/>
          <w:sz w:val="32"/>
          <w:szCs w:val="32"/>
          <w:lang w:val="en-US" w:eastAsia="zh-CN"/>
        </w:rPr>
        <w:t>五</w:t>
      </w:r>
      <w:r>
        <w:rPr>
          <w:rFonts w:hint="eastAsia" w:ascii="方正黑体_GBK" w:hAnsi="方正黑体_GBK" w:eastAsia="方正黑体_GBK" w:cs="方正黑体_GBK"/>
          <w:b w:val="0"/>
          <w:bCs w:val="0"/>
          <w:sz w:val="32"/>
          <w:szCs w:val="32"/>
        </w:rPr>
        <w:t>、评价结论</w:t>
      </w:r>
      <w:bookmarkEnd w:id="55"/>
    </w:p>
    <w:p>
      <w:pPr>
        <w:pageBreakBefore w:val="0"/>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经评价，2019年灌云县树云中沟黑臭河整治项目得分82.9分，等级“良好”，各部分权重和得分情况如下表，详情见附表1。</w:t>
      </w:r>
    </w:p>
    <w:p>
      <w:pPr>
        <w:ind w:firstLine="560" w:firstLineChars="200"/>
        <w:rPr>
          <w:rFonts w:ascii="仿宋" w:hAnsi="仿宋" w:eastAsia="仿宋" w:cs="Times New Roman"/>
          <w:color w:val="333333"/>
          <w:sz w:val="28"/>
          <w:szCs w:val="28"/>
        </w:rPr>
      </w:pPr>
    </w:p>
    <w:tbl>
      <w:tblPr>
        <w:tblStyle w:val="15"/>
        <w:tblW w:w="8613" w:type="dxa"/>
        <w:tblInd w:w="0" w:type="dxa"/>
        <w:tblLayout w:type="fixed"/>
        <w:tblCellMar>
          <w:top w:w="0" w:type="dxa"/>
          <w:left w:w="108" w:type="dxa"/>
          <w:bottom w:w="0" w:type="dxa"/>
          <w:right w:w="108" w:type="dxa"/>
        </w:tblCellMar>
      </w:tblPr>
      <w:tblGrid>
        <w:gridCol w:w="1242"/>
        <w:gridCol w:w="1560"/>
        <w:gridCol w:w="1417"/>
        <w:gridCol w:w="1843"/>
        <w:gridCol w:w="1276"/>
        <w:gridCol w:w="1275"/>
      </w:tblGrid>
      <w:tr>
        <w:tblPrEx>
          <w:tblCellMar>
            <w:top w:w="0" w:type="dxa"/>
            <w:left w:w="108" w:type="dxa"/>
            <w:bottom w:w="0" w:type="dxa"/>
            <w:right w:w="108" w:type="dxa"/>
          </w:tblCellMar>
        </w:tblPrEx>
        <w:trPr>
          <w:trHeight w:val="454" w:hRule="exact"/>
        </w:trPr>
        <w:tc>
          <w:tcPr>
            <w:tcW w:w="1242" w:type="dxa"/>
            <w:tcBorders>
              <w:top w:val="single" w:color="auto" w:sz="4" w:space="0"/>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指标</w:t>
            </w:r>
          </w:p>
        </w:tc>
        <w:tc>
          <w:tcPr>
            <w:tcW w:w="1560"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项目决策</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项目管理</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项目产出效益</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债务管理</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合计</w:t>
            </w:r>
          </w:p>
        </w:tc>
      </w:tr>
      <w:tr>
        <w:tblPrEx>
          <w:tblCellMar>
            <w:top w:w="0" w:type="dxa"/>
            <w:left w:w="108" w:type="dxa"/>
            <w:bottom w:w="0" w:type="dxa"/>
            <w:right w:w="108" w:type="dxa"/>
          </w:tblCellMar>
        </w:tblPrEx>
        <w:trPr>
          <w:trHeight w:val="454" w:hRule="exact"/>
        </w:trPr>
        <w:tc>
          <w:tcPr>
            <w:tcW w:w="1242" w:type="dxa"/>
            <w:tcBorders>
              <w:top w:val="nil"/>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分值</w:t>
            </w:r>
          </w:p>
        </w:tc>
        <w:tc>
          <w:tcPr>
            <w:tcW w:w="1560"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8</w:t>
            </w:r>
          </w:p>
        </w:tc>
        <w:tc>
          <w:tcPr>
            <w:tcW w:w="1417"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25</w:t>
            </w:r>
          </w:p>
        </w:tc>
        <w:tc>
          <w:tcPr>
            <w:tcW w:w="1843"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63</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4</w:t>
            </w:r>
          </w:p>
        </w:tc>
        <w:tc>
          <w:tcPr>
            <w:tcW w:w="1275" w:type="dxa"/>
            <w:tcBorders>
              <w:top w:val="nil"/>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100</w:t>
            </w:r>
          </w:p>
        </w:tc>
      </w:tr>
      <w:tr>
        <w:tblPrEx>
          <w:tblCellMar>
            <w:top w:w="0" w:type="dxa"/>
            <w:left w:w="108" w:type="dxa"/>
            <w:bottom w:w="0" w:type="dxa"/>
            <w:right w:w="108" w:type="dxa"/>
          </w:tblCellMar>
        </w:tblPrEx>
        <w:trPr>
          <w:trHeight w:val="454" w:hRule="exact"/>
        </w:trPr>
        <w:tc>
          <w:tcPr>
            <w:tcW w:w="1242" w:type="dxa"/>
            <w:tcBorders>
              <w:top w:val="nil"/>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得分</w:t>
            </w:r>
          </w:p>
        </w:tc>
        <w:tc>
          <w:tcPr>
            <w:tcW w:w="1560"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6</w:t>
            </w:r>
          </w:p>
        </w:tc>
        <w:tc>
          <w:tcPr>
            <w:tcW w:w="1417"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20</w:t>
            </w:r>
          </w:p>
        </w:tc>
        <w:tc>
          <w:tcPr>
            <w:tcW w:w="1843"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53.90</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3</w:t>
            </w:r>
          </w:p>
        </w:tc>
        <w:tc>
          <w:tcPr>
            <w:tcW w:w="1275" w:type="dxa"/>
            <w:tcBorders>
              <w:top w:val="nil"/>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82.90</w:t>
            </w:r>
          </w:p>
        </w:tc>
      </w:tr>
      <w:tr>
        <w:tblPrEx>
          <w:tblCellMar>
            <w:top w:w="0" w:type="dxa"/>
            <w:left w:w="108" w:type="dxa"/>
            <w:bottom w:w="0" w:type="dxa"/>
            <w:right w:w="108" w:type="dxa"/>
          </w:tblCellMar>
        </w:tblPrEx>
        <w:trPr>
          <w:trHeight w:val="454" w:hRule="exact"/>
        </w:trPr>
        <w:tc>
          <w:tcPr>
            <w:tcW w:w="1242" w:type="dxa"/>
            <w:tcBorders>
              <w:top w:val="nil"/>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得分率</w:t>
            </w:r>
          </w:p>
        </w:tc>
        <w:tc>
          <w:tcPr>
            <w:tcW w:w="1560"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75.00%</w:t>
            </w:r>
          </w:p>
        </w:tc>
        <w:tc>
          <w:tcPr>
            <w:tcW w:w="1417"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80.00%</w:t>
            </w:r>
          </w:p>
        </w:tc>
        <w:tc>
          <w:tcPr>
            <w:tcW w:w="1843" w:type="dxa"/>
            <w:tcBorders>
              <w:top w:val="nil"/>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85.56%</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75.00%</w:t>
            </w:r>
          </w:p>
        </w:tc>
        <w:tc>
          <w:tcPr>
            <w:tcW w:w="1275" w:type="dxa"/>
            <w:tcBorders>
              <w:top w:val="nil"/>
              <w:left w:val="single" w:color="auto" w:sz="4" w:space="0"/>
              <w:bottom w:val="single" w:color="auto" w:sz="4" w:space="0"/>
              <w:right w:val="single" w:color="auto" w:sz="4" w:space="0"/>
            </w:tcBorders>
            <w:vAlign w:val="center"/>
          </w:tcPr>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82.90%</w:t>
            </w:r>
          </w:p>
        </w:tc>
      </w:tr>
    </w:tbl>
    <w:p>
      <w:pPr>
        <w:widowControl/>
        <w:jc w:val="center"/>
        <w:rPr>
          <w:rFonts w:cs="仿宋" w:asciiTheme="minorEastAsia" w:hAnsiTheme="minorEastAsia"/>
          <w:kern w:val="0"/>
          <w:sz w:val="20"/>
          <w:szCs w:val="20"/>
        </w:rPr>
      </w:pPr>
      <w:r>
        <w:rPr>
          <w:rFonts w:hint="eastAsia" w:cs="仿宋" w:asciiTheme="minorEastAsia" w:hAnsiTheme="minorEastAsia"/>
          <w:kern w:val="0"/>
          <w:sz w:val="20"/>
          <w:szCs w:val="20"/>
        </w:rPr>
        <w:t xml:space="preserve">   </w:t>
      </w:r>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highlight w:val="yellow"/>
        </w:rPr>
      </w:pPr>
      <w:r>
        <w:rPr>
          <w:rFonts w:hint="eastAsia" w:ascii="仿宋" w:hAnsi="仿宋" w:eastAsia="仿宋" w:cs="仿宋"/>
          <w:color w:val="333333"/>
          <w:sz w:val="32"/>
          <w:szCs w:val="32"/>
        </w:rPr>
        <w:t>绩效评价结果总体上反映了项目实际建设取得的实效，少数扣分选项反映项目所存在的不足。项目绩效评价的实际结果对项目建设单位起到了督促和借鉴作用，较好实现了绩效考核目标。项目决策指标满分8分，得分6分，得分率75%；依据《关于印发&lt;灌云县黑臭水体整治实施方案&gt;的通知》（灌政办[2018]106号），灌云县黑臭水体整治项目立项依据充分、流程规范，绩效目标设置也较合理，但是存在未对黑臭河道整治专项资金进行详细的分配，也没有单独设立树云中沟黑臭河整治项目预算，造成了灌云县黑臭河整治（树云中沟段）项目没有具体明确的预算资金问题。项目管理指标25分，得分20分，得分率80.00%，从得分情况可以看出黑臭河整治(树云中沟段)项目管理情况较好，但存在未出台项目具体管理制度和工程设计方案变更手续不规范的问题，在管理环节仍需进一步加强；从项目产出及效益指标来看，指标满分63分,得分53.90分,得分率85.56%,得分情况较好,项目建设完成后基本都能达到预期的产出效果，但也要注重项目的后期管护工作。债务管理指标，满分4分，得分3分，得分率75%，主要是在债务风险评定和债务决策等环节还有不足之处。总体来说灌云县树云中沟黑臭河道整治项目绩效评价情况良好，调查问卷形式也反映出群众满意度较高，大部分居民希望加大项目后期管控力度，杜绝河水返黑返臭现象，对项目整体情况反响积极强烈。</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lang w:val="en-US" w:eastAsia="zh-CN"/>
        </w:rPr>
      </w:pPr>
      <w:bookmarkStart w:id="56" w:name="_Toc23015"/>
      <w:r>
        <w:rPr>
          <w:rFonts w:hint="eastAsia" w:ascii="方正黑体_GBK" w:hAnsi="方正黑体_GBK" w:eastAsia="方正黑体_GBK" w:cs="方正黑体_GBK"/>
          <w:b w:val="0"/>
          <w:bCs w:val="0"/>
          <w:sz w:val="32"/>
          <w:szCs w:val="32"/>
          <w:lang w:val="en-US" w:eastAsia="zh-CN"/>
        </w:rPr>
        <w:t>六、经验及成效</w:t>
      </w:r>
      <w:bookmarkEnd w:id="56"/>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57" w:name="_Toc31869"/>
      <w:r>
        <w:rPr>
          <w:rFonts w:hint="eastAsia" w:ascii="方正楷体_GBK" w:hAnsi="方正楷体_GBK" w:eastAsia="方正楷体_GBK" w:cs="方正楷体_GBK"/>
          <w:b w:val="0"/>
          <w:bCs w:val="0"/>
          <w:sz w:val="32"/>
          <w:szCs w:val="32"/>
        </w:rPr>
        <w:t>（一）用好政府债券  保障改善民生</w:t>
      </w:r>
      <w:bookmarkEnd w:id="57"/>
    </w:p>
    <w:p>
      <w:pPr>
        <w:pageBreakBefore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2019年灌云县城市黑臭水体改造项目使用政府债券资金5000万元，县政府通过加强政府债券资金监督和管理，最大限度地提高政府债券资金使用绩效；通过有效地使用政府债券资金，又促进了灌云县经济发展，有效缓解了财政支出的压力，保证了经济的平稳运行。</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58" w:name="_Toc22463"/>
      <w:r>
        <w:rPr>
          <w:rFonts w:hint="eastAsia" w:ascii="方正楷体_GBK" w:hAnsi="方正楷体_GBK" w:eastAsia="方正楷体_GBK" w:cs="方正楷体_GBK"/>
          <w:b w:val="0"/>
          <w:bCs w:val="0"/>
          <w:sz w:val="32"/>
          <w:szCs w:val="32"/>
        </w:rPr>
        <w:t>（二）加强组织领导</w:t>
      </w:r>
      <w:bookmarkEnd w:id="58"/>
    </w:p>
    <w:p>
      <w:pPr>
        <w:pageBreakBefore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黑臭河整治是一种政府行为，光靠住建局单个部门是难以胜任的。为了全面完成年度河道项目建设任务，财政部门把该项目纳入了年度考核的重要目标。灌云县政府高度重视，成立工作班子，强化组织领导，成立了黑臭河整治工作领导小组，县政府副县长李瑾伟任整治工作领导小组组长，县住建局局长马东、县水利局局长任礼宁、县环保局局长戚建民任副组长，指挥部成员由发改委、交通运输局、国土资源局、财政局、农委、住建局等部门负责人及伊山镇、杨集镇等各镇镇长、水利局、住建局工作人员组成。</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59" w:name="_Toc13340"/>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三</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rPr>
        <w:t>树云中沟河道水体质量得到明显改善</w:t>
      </w:r>
      <w:bookmarkEnd w:id="59"/>
    </w:p>
    <w:p>
      <w:pPr>
        <w:pageBreakBefore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截止2019年底，树云中沟黑臭水体整治项目已完工并通过验收。整治项目包括对树云中沟2.4公里河道进行河道清淤、控源截污、生态修复、绿化补植、景观改造等工程。通过整治，树云中沟的环境质量，包括功能配套整体提升，实现“排水畅通、水清岸绿、景观和谐、人水相亲”的水环境，改善水质，消除黑臭河道，降低水环境污染，水环境质量提档升级。</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lang w:val="en-US" w:eastAsia="zh-CN"/>
        </w:rPr>
      </w:pPr>
      <w:bookmarkStart w:id="60" w:name="_Toc28424"/>
      <w:r>
        <w:rPr>
          <w:rFonts w:hint="eastAsia" w:ascii="方正黑体_GBK" w:hAnsi="方正黑体_GBK" w:eastAsia="方正黑体_GBK" w:cs="方正黑体_GBK"/>
          <w:b w:val="0"/>
          <w:bCs w:val="0"/>
          <w:sz w:val="32"/>
          <w:szCs w:val="32"/>
          <w:lang w:val="en-US" w:eastAsia="zh-CN"/>
        </w:rPr>
        <w:t>七、存在的问题</w:t>
      </w:r>
      <w:bookmarkEnd w:id="60"/>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rPr>
      </w:pPr>
      <w:bookmarkStart w:id="61" w:name="_Toc16103"/>
      <w:r>
        <w:rPr>
          <w:rFonts w:hint="eastAsia" w:ascii="方正楷体_GBK" w:hAnsi="方正楷体_GBK" w:eastAsia="方正楷体_GBK" w:cs="方正楷体_GBK"/>
          <w:b w:val="0"/>
          <w:bCs w:val="0"/>
          <w:sz w:val="32"/>
          <w:szCs w:val="32"/>
        </w:rPr>
        <w:t>（一） 专项资金分配不合理</w:t>
      </w:r>
      <w:bookmarkEnd w:id="61"/>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2019年度灌云县设立黑臭河整治项目预算，专项资金5000万元，专项资金使用范围包括小鸭河、三里河、山前河、东门河、树云中沟五条河流的黑臭整治工程。由于预算编制时未对黑臭河道整治专项资金进行详细的分配，也没有单独设立树云中沟黑臭河整治项目预算，造成了黑臭河整治（树云中沟段）没有具体明确的预算资金问题，且2019年度黑臭河整治项目总预算资金5000万元，与五条河黑臭整治工程不能匹配。</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2" w:name="_Toc15186"/>
      <w:r>
        <w:rPr>
          <w:rFonts w:hint="eastAsia" w:ascii="方正楷体_GBK" w:hAnsi="方正楷体_GBK" w:eastAsia="方正楷体_GBK" w:cs="方正楷体_GBK"/>
          <w:b w:val="0"/>
          <w:bCs w:val="0"/>
          <w:sz w:val="32"/>
          <w:szCs w:val="32"/>
          <w:lang w:eastAsia="zh-CN"/>
        </w:rPr>
        <w:t>（二）专项资金会计核算不规范</w:t>
      </w:r>
      <w:bookmarkEnd w:id="62"/>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专项资金应当“专账核算、专款专用”，灌云县住建局未对2019年度黑臭河整治项目专项资金设置专账进行核算，不利于专项资金的管理，难以保障专项资金安全、高效运行，也加大了对专项资金后期进行审计监督评价的</w:t>
      </w:r>
      <w:r>
        <w:rPr>
          <w:rFonts w:hint="eastAsia" w:ascii="仿宋" w:hAnsi="仿宋" w:eastAsia="仿宋" w:cs="仿宋"/>
          <w:color w:val="000000" w:themeColor="text1"/>
          <w:sz w:val="32"/>
          <w:szCs w:val="32"/>
        </w:rPr>
        <w:t>难度</w:t>
      </w:r>
      <w:r>
        <w:rPr>
          <w:rFonts w:hint="eastAsia" w:ascii="仿宋" w:hAnsi="仿宋" w:eastAsia="仿宋" w:cs="仿宋"/>
          <w:color w:val="333333"/>
          <w:sz w:val="32"/>
          <w:szCs w:val="32"/>
        </w:rPr>
        <w:t>，本次绩效评价灌云县住建局财务未提供树云中沟黑臭河整治专项明细账，评价组依据住建局经建科提供付款台账统计专项资金支出。</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3" w:name="_Toc30762"/>
      <w:r>
        <w:rPr>
          <w:rFonts w:hint="eastAsia" w:ascii="方正楷体_GBK" w:hAnsi="方正楷体_GBK" w:eastAsia="方正楷体_GBK" w:cs="方正楷体_GBK"/>
          <w:b w:val="0"/>
          <w:bCs w:val="0"/>
          <w:sz w:val="32"/>
          <w:szCs w:val="32"/>
          <w:lang w:eastAsia="zh-CN"/>
        </w:rPr>
        <w:t>（三）项目后续养护不到位</w:t>
      </w:r>
      <w:bookmarkEnd w:id="63"/>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绩效评价小组在实地查看时发现，树云中沟部分河段表面漂浮一些树叶、塑料袋等物体，8台纳米曝气机仅有1台运转，保洁人员不足未及时有效清理垃圾，部分河道两岸存在垃圾堆放现象，影响河道周边形象。此外，通过调查问卷，有居民反映水体颜色不正常、水质有污染、生态浮岛缺少修剪等问题。</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4" w:name="_Toc2250"/>
      <w:r>
        <w:rPr>
          <w:rFonts w:hint="eastAsia" w:ascii="方正楷体_GBK" w:hAnsi="方正楷体_GBK" w:eastAsia="方正楷体_GBK" w:cs="方正楷体_GBK"/>
          <w:b w:val="0"/>
          <w:bCs w:val="0"/>
          <w:sz w:val="32"/>
          <w:szCs w:val="32"/>
          <w:lang w:eastAsia="zh-CN"/>
        </w:rPr>
        <w:t>（四）项目设计方案调整变更手续不完善</w:t>
      </w:r>
      <w:bookmarkEnd w:id="64"/>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 xml:space="preserve"> 树云中沟黑臭河道整治工程设计方案存在调整情况，其中30台纳米曝气机减少至8台,生态浮岛面积由1800平方米调整为3600平方米,该调整方案仅有住建局内部会议纪要,未取得设计单位设计方案变更通知单,项目设计方案调整变更手续不够完善。</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5" w:name="_Toc10535"/>
      <w:r>
        <w:rPr>
          <w:rFonts w:hint="eastAsia" w:ascii="方正楷体_GBK" w:hAnsi="方正楷体_GBK" w:eastAsia="方正楷体_GBK" w:cs="方正楷体_GBK"/>
          <w:b w:val="0"/>
          <w:bCs w:val="0"/>
          <w:sz w:val="32"/>
          <w:szCs w:val="32"/>
          <w:lang w:eastAsia="zh-CN"/>
        </w:rPr>
        <w:t>（五）项目长效管理机制不健全</w:t>
      </w:r>
      <w:bookmarkEnd w:id="65"/>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水体整治“三分建七分管”，内河治理，既要整治更要管理。“前期工程”措施固然非常重要，“日常管理”维护同样不可或缺，树云中沟黑臭河道整治工程完工后，未能及时建立项目长效管理制度，明确树云中沟河道管理经费及各部门管理监督职责，不利于树云中沟黑臭河道整治项目的后期维护工作。</w:t>
      </w:r>
    </w:p>
    <w:p>
      <w:pPr>
        <w:pStyle w:val="2"/>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黑体_GBK" w:hAnsi="方正黑体_GBK" w:eastAsia="方正黑体_GBK" w:cs="方正黑体_GBK"/>
          <w:b w:val="0"/>
          <w:bCs w:val="0"/>
          <w:sz w:val="32"/>
          <w:szCs w:val="32"/>
          <w:lang w:val="en-US" w:eastAsia="zh-CN"/>
        </w:rPr>
      </w:pPr>
      <w:bookmarkStart w:id="66" w:name="_Toc6727"/>
      <w:r>
        <w:rPr>
          <w:rFonts w:hint="eastAsia" w:ascii="方正黑体_GBK" w:hAnsi="方正黑体_GBK" w:eastAsia="方正黑体_GBK" w:cs="方正黑体_GBK"/>
          <w:b w:val="0"/>
          <w:bCs w:val="0"/>
          <w:sz w:val="32"/>
          <w:szCs w:val="32"/>
          <w:lang w:val="en-US" w:eastAsia="zh-CN"/>
        </w:rPr>
        <w:t>八、整改建议</w:t>
      </w:r>
      <w:bookmarkEnd w:id="66"/>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7" w:name="_Toc13680"/>
      <w:r>
        <w:rPr>
          <w:rFonts w:hint="eastAsia" w:ascii="方正楷体_GBK" w:hAnsi="方正楷体_GBK" w:eastAsia="方正楷体_GBK" w:cs="方正楷体_GBK"/>
          <w:b w:val="0"/>
          <w:bCs w:val="0"/>
          <w:sz w:val="32"/>
          <w:szCs w:val="32"/>
          <w:lang w:eastAsia="zh-CN"/>
        </w:rPr>
        <w:t>（一）有效落实河道长效管理机制</w:t>
      </w:r>
      <w:bookmarkEnd w:id="67"/>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建章立制，形成河道长效管理机制。要细化目标任务，实行差别化考核办法。对已经完成整治的黑臭河，要建立养护制度，落实河道日常保洁、养护责任，杜绝河水返黑返臭现象，保证河道长期保持河清水洁、岸绿鱼游的良好生态环境。组织环保、住建、水务、城管等部门，定期开展河道水质监测和综合评估。如发现水质异常、污染反弹等水环境问题，及时清理改正到位。</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8" w:name="_Toc10440"/>
      <w:r>
        <w:rPr>
          <w:rFonts w:hint="eastAsia" w:ascii="方正楷体_GBK" w:hAnsi="方正楷体_GBK" w:eastAsia="方正楷体_GBK" w:cs="方正楷体_GBK"/>
          <w:b w:val="0"/>
          <w:bCs w:val="0"/>
          <w:sz w:val="32"/>
          <w:szCs w:val="32"/>
          <w:lang w:eastAsia="zh-CN"/>
        </w:rPr>
        <w:t>（二）建立健全“建管分离”良性运作机制</w:t>
      </w:r>
      <w:bookmarkEnd w:id="68"/>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建议针对黑臭河道整治工程分别确定建设方和管理方，建设方与管理方分工明确，各司其职，全面提高工程管理水平。就建设方来说，应及时修复、减少“破窗”，做到尽快地恢复内河生态环境，给老百姓提供一个美丽洁净的生活环境；就管理方来说，不要做“旁观者”，应对内河进行责任分区、分片管理，做到责任分工到人、到位，齐心协力管理好河道环境。</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69" w:name="_Toc3829"/>
      <w:r>
        <w:rPr>
          <w:rFonts w:hint="eastAsia" w:ascii="方正楷体_GBK" w:hAnsi="方正楷体_GBK" w:eastAsia="方正楷体_GBK" w:cs="方正楷体_GBK"/>
          <w:b w:val="0"/>
          <w:bCs w:val="0"/>
          <w:sz w:val="32"/>
          <w:szCs w:val="32"/>
          <w:lang w:eastAsia="zh-CN"/>
        </w:rPr>
        <w:t>（三）加强河道环境保护宣传</w:t>
      </w:r>
      <w:bookmarkEnd w:id="69"/>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积极开展保护河道水环境的宣传教育。强化宣传，不断提高</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"http://huanbao.bjx.com.cn/hot/hot_24668.shtml" \t "_blank" \o "公众环境意识新闻专题" </w:instrText>
      </w:r>
      <w:r>
        <w:rPr>
          <w:rFonts w:hint="eastAsia" w:ascii="仿宋" w:hAnsi="仿宋" w:eastAsia="仿宋" w:cs="仿宋"/>
          <w:sz w:val="32"/>
          <w:szCs w:val="32"/>
        </w:rPr>
        <w:fldChar w:fldCharType="separate"/>
      </w:r>
      <w:r>
        <w:rPr>
          <w:rFonts w:hint="eastAsia" w:ascii="仿宋" w:hAnsi="仿宋" w:eastAsia="仿宋" w:cs="仿宋"/>
          <w:color w:val="333333"/>
          <w:sz w:val="32"/>
          <w:szCs w:val="32"/>
        </w:rPr>
        <w:t>公众环境意识</w:t>
      </w:r>
      <w:r>
        <w:rPr>
          <w:rFonts w:hint="eastAsia" w:ascii="仿宋" w:hAnsi="仿宋" w:eastAsia="仿宋" w:cs="仿宋"/>
          <w:color w:val="333333"/>
          <w:sz w:val="32"/>
          <w:szCs w:val="32"/>
        </w:rPr>
        <w:fldChar w:fldCharType="end"/>
      </w:r>
      <w:r>
        <w:rPr>
          <w:rFonts w:hint="eastAsia" w:ascii="仿宋" w:hAnsi="仿宋" w:eastAsia="仿宋" w:cs="仿宋"/>
          <w:color w:val="333333"/>
          <w:sz w:val="32"/>
          <w:szCs w:val="32"/>
        </w:rPr>
        <w:t>。各地在加强正面宣传的同时，也要及时公开黑臭河整治进度、验收标准等信息，接受公众监督。要发挥基层组织的作用，居委会、社区可根据环境政策、环境法律法规规定，结合本地实际，把垃圾定点投放、不得随意抛河等文明习惯纳入社规民约，规范公众的环境行为。通过设置环保宣传栏或借助新媒体平台等渠道开展形式新颖的宣传工作，提高广大人民群众参与建设的积极性，提高环保意识，使广大人民群众自觉维护河道整洁，才能真正从源头截断内河污染，维持内河自净能力，恢复内河的生命力。</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70" w:name="_Toc12225"/>
      <w:r>
        <w:rPr>
          <w:rFonts w:hint="eastAsia" w:ascii="方正楷体_GBK" w:hAnsi="方正楷体_GBK" w:eastAsia="方正楷体_GBK" w:cs="方正楷体_GBK"/>
          <w:b w:val="0"/>
          <w:bCs w:val="0"/>
          <w:sz w:val="32"/>
          <w:szCs w:val="32"/>
          <w:lang w:eastAsia="zh-CN"/>
        </w:rPr>
        <w:t>（四）完善专项资金管理制度</w:t>
      </w:r>
      <w:bookmarkEnd w:id="70"/>
      <w:r>
        <w:rPr>
          <w:rFonts w:hint="eastAsia" w:ascii="方正楷体_GBK" w:hAnsi="方正楷体_GBK" w:eastAsia="方正楷体_GBK" w:cs="方正楷体_GBK"/>
          <w:b w:val="0"/>
          <w:bCs w:val="0"/>
          <w:sz w:val="32"/>
          <w:szCs w:val="32"/>
          <w:lang w:eastAsia="zh-CN"/>
        </w:rPr>
        <w:t xml:space="preserve">  </w:t>
      </w:r>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bCs/>
          <w:color w:val="333333"/>
          <w:sz w:val="32"/>
          <w:szCs w:val="32"/>
        </w:rPr>
      </w:pPr>
      <w:r>
        <w:rPr>
          <w:rFonts w:hint="eastAsia" w:ascii="仿宋" w:hAnsi="仿宋" w:eastAsia="仿宋" w:cs="仿宋"/>
          <w:bCs/>
          <w:color w:val="333333"/>
          <w:sz w:val="32"/>
          <w:szCs w:val="32"/>
        </w:rPr>
        <w:t>建议完善专项资金管理制度，在宏观层面上建立专项资金管理制度，在各项目层次上建立各项目资金的具体管理办法，从项目立项、项目预算、资金管理、项目实施、监督各环节入手规范操作程序和标准，明确各相关单位职责和资金的使用范围，科学编制和合理细化专项资金预算，硬化预算约束，拓宽专项资金管理办法，使专项资金落实到每一个项目上。</w:t>
      </w:r>
    </w:p>
    <w:p>
      <w:pPr>
        <w:pStyle w:val="3"/>
        <w:pageBreakBefore w:val="0"/>
        <w:kinsoku/>
        <w:wordWrap/>
        <w:overflowPunct/>
        <w:topLinePunct w:val="0"/>
        <w:autoSpaceDE/>
        <w:autoSpaceDN/>
        <w:bidi w:val="0"/>
        <w:adjustRightInd/>
        <w:snapToGrid/>
        <w:spacing w:before="0" w:after="0" w:line="580" w:lineRule="exact"/>
        <w:ind w:firstLine="640" w:firstLineChars="200"/>
        <w:jc w:val="both"/>
        <w:textAlignment w:val="auto"/>
        <w:rPr>
          <w:rFonts w:hint="eastAsia" w:ascii="方正楷体_GBK" w:hAnsi="方正楷体_GBK" w:eastAsia="方正楷体_GBK" w:cs="方正楷体_GBK"/>
          <w:b w:val="0"/>
          <w:bCs w:val="0"/>
          <w:sz w:val="32"/>
          <w:szCs w:val="32"/>
          <w:lang w:eastAsia="zh-CN"/>
        </w:rPr>
      </w:pPr>
      <w:bookmarkStart w:id="71" w:name="_Toc22420"/>
      <w:r>
        <w:rPr>
          <w:rFonts w:hint="eastAsia" w:ascii="方正楷体_GBK" w:hAnsi="方正楷体_GBK" w:eastAsia="方正楷体_GBK" w:cs="方正楷体_GBK"/>
          <w:b w:val="0"/>
          <w:bCs w:val="0"/>
          <w:sz w:val="32"/>
          <w:szCs w:val="32"/>
          <w:lang w:eastAsia="zh-CN"/>
        </w:rPr>
        <w:t>（五）规范会计核算，提高专项资金财务管理水平</w:t>
      </w:r>
      <w:bookmarkEnd w:id="71"/>
    </w:p>
    <w:p>
      <w:pPr>
        <w:pageBreakBefore w:val="0"/>
        <w:widowControl/>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333333"/>
          <w:sz w:val="32"/>
          <w:szCs w:val="32"/>
        </w:rPr>
      </w:pPr>
      <w:r>
        <w:rPr>
          <w:rFonts w:hint="eastAsia" w:ascii="仿宋" w:hAnsi="仿宋" w:eastAsia="仿宋" w:cs="仿宋"/>
          <w:color w:val="333333"/>
          <w:sz w:val="32"/>
          <w:szCs w:val="32"/>
        </w:rPr>
        <w:t>建议规范专项资金会计核算，对专项资金收支分类单独核算，根据项目资金的类型和财政管理的要求确定核算项目及其内容，同时按项目支出的性质和内容对照项目的预算内容，准确全面核算项目实际成本支出，严格遵守《政府会计制度》，提高专项资金财务管理水平，保证专项资金安全、规范、高效使用。</w:t>
      </w:r>
    </w:p>
    <w:p>
      <w:pPr>
        <w:keepNext w:val="0"/>
        <w:keepLines w:val="0"/>
        <w:pageBreakBefore w:val="0"/>
        <w:widowControl/>
        <w:kinsoku/>
        <w:wordWrap/>
        <w:overflowPunct/>
        <w:topLinePunct w:val="0"/>
        <w:autoSpaceDE/>
        <w:autoSpaceDN/>
        <w:bidi w:val="0"/>
        <w:adjustRightInd/>
        <w:snapToGrid/>
        <w:spacing w:before="157" w:beforeLines="50" w:after="157" w:afterLines="50" w:line="580" w:lineRule="exact"/>
        <w:ind w:firstLine="640" w:firstLineChars="200"/>
        <w:jc w:val="left"/>
        <w:textAlignment w:val="auto"/>
        <w:rPr>
          <w:color w:val="333333"/>
          <w:sz w:val="28"/>
          <w:szCs w:val="28"/>
        </w:rPr>
      </w:pPr>
      <w:r>
        <w:rPr>
          <w:rFonts w:hint="eastAsia" w:ascii="仿宋" w:hAnsi="仿宋" w:eastAsia="仿宋" w:cs="仿宋"/>
          <w:color w:val="333333"/>
          <w:sz w:val="32"/>
          <w:szCs w:val="32"/>
        </w:rPr>
        <w:t>附1：灌云县2019年度黑臭河道整治（树云中沟段）项目绩效评价表</w:t>
      </w:r>
    </w:p>
    <w:p>
      <w:pPr>
        <w:spacing w:line="360" w:lineRule="auto"/>
        <w:ind w:right="-130"/>
        <w:jc w:val="right"/>
        <w:rPr>
          <w:rFonts w:ascii="仿宋" w:hAnsi="仿宋" w:eastAsia="仿宋" w:cs="Times New Roman"/>
          <w:position w:val="6"/>
          <w:sz w:val="28"/>
          <w:szCs w:val="28"/>
        </w:rPr>
      </w:pPr>
      <w:r>
        <w:rPr>
          <w:rFonts w:hint="eastAsia" w:ascii="仿宋" w:hAnsi="仿宋" w:eastAsia="仿宋" w:cs="Times New Roman"/>
          <w:position w:val="6"/>
          <w:sz w:val="28"/>
          <w:szCs w:val="28"/>
        </w:rPr>
        <w:t xml:space="preserve">江苏润华会计师事务所有限公司     </w:t>
      </w:r>
    </w:p>
    <w:p>
      <w:pPr>
        <w:widowControl/>
        <w:spacing w:line="360" w:lineRule="auto"/>
        <w:jc w:val="right"/>
        <w:rPr>
          <w:color w:val="333333"/>
          <w:sz w:val="28"/>
          <w:szCs w:val="28"/>
        </w:rPr>
      </w:pPr>
      <w:r>
        <w:rPr>
          <w:rFonts w:hint="eastAsia" w:ascii="仿宋" w:hAnsi="仿宋" w:eastAsia="仿宋" w:cs="Times New Roman"/>
          <w:spacing w:val="40"/>
          <w:kern w:val="0"/>
          <w:sz w:val="28"/>
          <w:szCs w:val="28"/>
        </w:rPr>
        <w:t>2020年</w:t>
      </w:r>
      <w:r>
        <w:rPr>
          <w:rFonts w:hint="eastAsia" w:ascii="仿宋" w:hAnsi="仿宋" w:eastAsia="仿宋"/>
          <w:spacing w:val="40"/>
          <w:kern w:val="0"/>
          <w:sz w:val="28"/>
          <w:szCs w:val="28"/>
        </w:rPr>
        <w:t>12</w:t>
      </w:r>
      <w:r>
        <w:rPr>
          <w:rFonts w:hint="eastAsia" w:ascii="仿宋" w:hAnsi="仿宋" w:eastAsia="仿宋" w:cs="Times New Roman"/>
          <w:spacing w:val="40"/>
          <w:kern w:val="0"/>
          <w:sz w:val="28"/>
          <w:szCs w:val="28"/>
        </w:rPr>
        <w:t>月</w:t>
      </w:r>
      <w:r>
        <w:rPr>
          <w:rFonts w:hint="eastAsia" w:ascii="仿宋" w:hAnsi="仿宋" w:eastAsia="仿宋"/>
          <w:spacing w:val="40"/>
          <w:kern w:val="0"/>
          <w:sz w:val="28"/>
          <w:szCs w:val="28"/>
        </w:rPr>
        <w:t>21</w:t>
      </w:r>
      <w:r>
        <w:rPr>
          <w:rFonts w:hint="eastAsia" w:ascii="仿宋" w:hAnsi="仿宋" w:eastAsia="仿宋" w:cs="Times New Roman"/>
          <w:spacing w:val="40"/>
          <w:kern w:val="0"/>
          <w:sz w:val="28"/>
          <w:szCs w:val="28"/>
        </w:rPr>
        <w:t>日</w:t>
      </w: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2C38A0-A00B-4F4D-98EB-717CADF3F70C}"/>
  </w:font>
  <w:font w:name="Arial">
    <w:panose1 w:val="020B0604020202020204"/>
    <w:charset w:val="01"/>
    <w:family w:val="swiss"/>
    <w:pitch w:val="default"/>
    <w:sig w:usb0="E0002AFF" w:usb1="C0007843" w:usb2="00000009" w:usb3="00000000" w:csb0="400001FF" w:csb1="FFFF0000"/>
    <w:embedRegular r:id="rId2" w:fontKey="{93DEACF7-472C-42A6-940B-D15C1A832A0E}"/>
  </w:font>
  <w:font w:name="黑体">
    <w:panose1 w:val="02010600030101010101"/>
    <w:charset w:val="86"/>
    <w:family w:val="auto"/>
    <w:pitch w:val="default"/>
    <w:sig w:usb0="800002BF" w:usb1="38CF7CFA" w:usb2="00000016" w:usb3="00000000" w:csb0="00040001" w:csb1="00000000"/>
    <w:embedRegular r:id="rId3" w:fontKey="{E04F3DC8-1238-46D2-A9E4-9A39C842794A}"/>
  </w:font>
  <w:font w:name="Courier New">
    <w:panose1 w:val="02070309020205020404"/>
    <w:charset w:val="01"/>
    <w:family w:val="modern"/>
    <w:pitch w:val="default"/>
    <w:sig w:usb0="E0002AFF" w:usb1="C0007843" w:usb2="00000009" w:usb3="00000000" w:csb0="400001FF" w:csb1="FFFF0000"/>
    <w:embedRegular r:id="rId4" w:fontKey="{A0B509FF-FC40-4543-8542-1023B513481E}"/>
  </w:font>
  <w:font w:name="Symbol">
    <w:panose1 w:val="05050102010706020507"/>
    <w:charset w:val="02"/>
    <w:family w:val="roman"/>
    <w:pitch w:val="default"/>
    <w:sig w:usb0="00000000" w:usb1="00000000" w:usb2="00000000" w:usb3="00000000" w:csb0="80000000" w:csb1="00000000"/>
    <w:embedRegular r:id="rId5" w:fontKey="{D9DE1CF6-8D07-4B19-91BA-0E27BC515665}"/>
  </w:font>
  <w:font w:name="Calibri">
    <w:panose1 w:val="020F0502020204030204"/>
    <w:charset w:val="00"/>
    <w:family w:val="swiss"/>
    <w:pitch w:val="default"/>
    <w:sig w:usb0="E10002FF" w:usb1="4000ACFF" w:usb2="00000009" w:usb3="00000000" w:csb0="2000019F" w:csb1="00000000"/>
    <w:embedRegular r:id="rId6" w:fontKey="{28F9ED45-BDDD-4CFF-9C9C-6DD2AAE6F51C}"/>
  </w:font>
  <w:font w:name="Arial">
    <w:panose1 w:val="020B0604020202020204"/>
    <w:charset w:val="00"/>
    <w:family w:val="swiss"/>
    <w:pitch w:val="default"/>
    <w:sig w:usb0="E0002AFF" w:usb1="C0007843" w:usb2="00000009" w:usb3="00000000" w:csb0="400001FF" w:csb1="FFFF0000"/>
    <w:embedRegular r:id="rId7" w:fontKey="{A21CF6F5-C2BE-4203-88F2-D59FB450FBA1}"/>
  </w:font>
  <w:font w:name="Cambria">
    <w:panose1 w:val="02040503050406030204"/>
    <w:charset w:val="00"/>
    <w:family w:val="roman"/>
    <w:pitch w:val="default"/>
    <w:sig w:usb0="E00002FF" w:usb1="400004FF" w:usb2="00000000" w:usb3="00000000" w:csb0="2000019F" w:csb1="00000000"/>
    <w:embedRegular r:id="rId8" w:fontKey="{B87CACEA-BC8A-4CB5-8959-AB82C7B0627B}"/>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embedRegular r:id="rId9" w:fontKey="{51DAF7E2-AC61-4D5E-B802-1F7D6FFAE422}"/>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003" w:usb1="288F0000" w:usb2="00000006" w:usb3="00000000" w:csb0="00040001" w:csb1="00000000"/>
    <w:embedRegular r:id="rId10" w:fontKey="{3EA971C4-4300-435D-9AF9-6672B276F544}"/>
  </w:font>
  <w:font w:name="仿宋">
    <w:panose1 w:val="02010609060101010101"/>
    <w:charset w:val="86"/>
    <w:family w:val="modern"/>
    <w:pitch w:val="default"/>
    <w:sig w:usb0="800002BF" w:usb1="38CF7CFA" w:usb2="00000016" w:usb3="00000000" w:csb0="00040001" w:csb1="00000000"/>
    <w:embedRegular r:id="rId11" w:fontKey="{1C354F8B-94DD-4833-90F4-A741A775D9D2}"/>
  </w:font>
  <w:font w:name="方正小标宋_GBK">
    <w:panose1 w:val="03000509000000000000"/>
    <w:charset w:val="86"/>
    <w:family w:val="script"/>
    <w:pitch w:val="default"/>
    <w:sig w:usb0="00000001" w:usb1="080E0000" w:usb2="00000000" w:usb3="00000000" w:csb0="00040000" w:csb1="00000000"/>
    <w:embedRegular r:id="rId12" w:fontKey="{CDD31456-11DE-4A2C-A6D4-405000795D5D}"/>
  </w:font>
  <w:font w:name="方正仿宋_GBK">
    <w:panose1 w:val="03000509000000000000"/>
    <w:charset w:val="86"/>
    <w:family w:val="script"/>
    <w:pitch w:val="default"/>
    <w:sig w:usb0="00000001" w:usb1="080E0000" w:usb2="00000000" w:usb3="00000000" w:csb0="00040000" w:csb1="00000000"/>
    <w:embedRegular r:id="rId13" w:fontKey="{F5F4D3CC-361C-438E-B020-08A7D4D74C5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4" w:fontKey="{1775A386-D8D3-4B85-844F-65AAA304F366}"/>
  </w:font>
  <w:font w:name="方正黑体_GBK">
    <w:panose1 w:val="03000509000000000000"/>
    <w:charset w:val="86"/>
    <w:family w:val="auto"/>
    <w:pitch w:val="default"/>
    <w:sig w:usb0="00000001" w:usb1="080E0000" w:usb2="00000000" w:usb3="00000000" w:csb0="00040000" w:csb1="00000000"/>
    <w:embedRegular r:id="rId15" w:fontKey="{BF54AACD-65D8-4663-979B-CE3CDC8EC0BB}"/>
  </w:font>
  <w:font w:name="方正小标宋简体">
    <w:panose1 w:val="03000509000000000000"/>
    <w:charset w:val="86"/>
    <w:family w:val="auto"/>
    <w:pitch w:val="default"/>
    <w:sig w:usb0="00000001" w:usb1="080E0000" w:usb2="00000000" w:usb3="00000000" w:csb0="00040000" w:csb1="00000000"/>
    <w:embedRegular r:id="rId16" w:fontKey="{DC45817E-92DD-4AA6-8D29-C84C2C2A3B7C}"/>
  </w:font>
  <w:font w:name="方正楷体_GBK">
    <w:panose1 w:val="03000509000000000000"/>
    <w:charset w:val="86"/>
    <w:family w:val="auto"/>
    <w:pitch w:val="default"/>
    <w:sig w:usb0="00000001" w:usb1="080E0000" w:usb2="00000000" w:usb3="00000000" w:csb0="00040000" w:csb1="00000000"/>
    <w:embedRegular r:id="rId17" w:fontKey="{CA4FC313-5921-41DF-8882-87282BA9F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0"/>
                  <w:rPr>
                    <w:b/>
                  </w:rPr>
                </w:pPr>
                <w:r>
                  <w:rPr>
                    <w:b/>
                  </w:rPr>
                  <w:fldChar w:fldCharType="begin"/>
                </w:r>
                <w:r>
                  <w:rPr>
                    <w:b/>
                  </w:rPr>
                  <w:instrText xml:space="preserve"> PAGE  \* MERGEFORMAT </w:instrText>
                </w:r>
                <w:r>
                  <w:rPr>
                    <w:b/>
                  </w:rPr>
                  <w:fldChar w:fldCharType="separate"/>
                </w:r>
                <w:r>
                  <w:rPr>
                    <w:b/>
                  </w:rPr>
                  <w:t>1</w:t>
                </w:r>
                <w:r>
                  <w:rPr>
                    <w:b/>
                  </w:rPr>
                  <w:fldChar w:fldCharType="end"/>
                </w:r>
              </w:p>
            </w:txbxContent>
          </v:textbox>
        </v:shape>
      </w:pict>
    </w:r>
    <w:sdt>
      <w:sdtPr>
        <w:id w:val="21136925"/>
      </w:sdtPr>
      <w:sdtContent>
        <w:r>
          <w:rPr>
            <w:rFonts w:hint="eastAsia"/>
          </w:rPr>
          <w:t>1</w:t>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6130"/>
      </w:tabs>
      <w:jc w:val="left"/>
      <w:rPr>
        <w:rFonts w:hint="eastAsia" w:eastAsiaTheme="minorEastAsia"/>
        <w:lang w:eastAsia="zh-CN"/>
      </w:rPr>
    </w:pPr>
    <w:r>
      <w:rPr>
        <w:rFonts w:hint="eastAsia"/>
        <w:lang w:eastAsia="zh-CN"/>
      </w:rPr>
      <w:tab/>
      <w:t/>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AA2A57"/>
    <w:multiLevelType w:val="multilevel"/>
    <w:tmpl w:val="4AAA2A57"/>
    <w:lvl w:ilvl="0" w:tentative="0">
      <w:start w:val="1"/>
      <w:numFmt w:val="decimal"/>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43BF5"/>
    <w:rsid w:val="00001C4F"/>
    <w:rsid w:val="000021E6"/>
    <w:rsid w:val="000029BA"/>
    <w:rsid w:val="00004667"/>
    <w:rsid w:val="000047B1"/>
    <w:rsid w:val="000053FC"/>
    <w:rsid w:val="00005729"/>
    <w:rsid w:val="0000638C"/>
    <w:rsid w:val="00006C21"/>
    <w:rsid w:val="00010221"/>
    <w:rsid w:val="000141E5"/>
    <w:rsid w:val="00015FAE"/>
    <w:rsid w:val="0001677D"/>
    <w:rsid w:val="00016F77"/>
    <w:rsid w:val="000225E6"/>
    <w:rsid w:val="00022AA8"/>
    <w:rsid w:val="0002473F"/>
    <w:rsid w:val="00026722"/>
    <w:rsid w:val="00026DE1"/>
    <w:rsid w:val="000270CE"/>
    <w:rsid w:val="000313AB"/>
    <w:rsid w:val="00037138"/>
    <w:rsid w:val="000421D6"/>
    <w:rsid w:val="00043AFC"/>
    <w:rsid w:val="00044B10"/>
    <w:rsid w:val="00046677"/>
    <w:rsid w:val="000469BD"/>
    <w:rsid w:val="000477BC"/>
    <w:rsid w:val="00050149"/>
    <w:rsid w:val="0005258B"/>
    <w:rsid w:val="000526D9"/>
    <w:rsid w:val="00053C3E"/>
    <w:rsid w:val="0005723A"/>
    <w:rsid w:val="00057C25"/>
    <w:rsid w:val="000620C8"/>
    <w:rsid w:val="00062840"/>
    <w:rsid w:val="00064C1E"/>
    <w:rsid w:val="00065C9C"/>
    <w:rsid w:val="000704A3"/>
    <w:rsid w:val="0007145A"/>
    <w:rsid w:val="000715CD"/>
    <w:rsid w:val="00073054"/>
    <w:rsid w:val="00073E18"/>
    <w:rsid w:val="00080A2D"/>
    <w:rsid w:val="0008155C"/>
    <w:rsid w:val="00085698"/>
    <w:rsid w:val="0008647A"/>
    <w:rsid w:val="00090863"/>
    <w:rsid w:val="00090C22"/>
    <w:rsid w:val="00092809"/>
    <w:rsid w:val="00092D2B"/>
    <w:rsid w:val="00094FA1"/>
    <w:rsid w:val="00097093"/>
    <w:rsid w:val="000A0164"/>
    <w:rsid w:val="000A1125"/>
    <w:rsid w:val="000A4A7F"/>
    <w:rsid w:val="000A7582"/>
    <w:rsid w:val="000A7BDF"/>
    <w:rsid w:val="000B15A2"/>
    <w:rsid w:val="000B23AD"/>
    <w:rsid w:val="000B4C38"/>
    <w:rsid w:val="000B6804"/>
    <w:rsid w:val="000B7451"/>
    <w:rsid w:val="000B7616"/>
    <w:rsid w:val="000B7FF7"/>
    <w:rsid w:val="000C0809"/>
    <w:rsid w:val="000C2610"/>
    <w:rsid w:val="000C2892"/>
    <w:rsid w:val="000C4E20"/>
    <w:rsid w:val="000C5143"/>
    <w:rsid w:val="000C5A34"/>
    <w:rsid w:val="000C70C8"/>
    <w:rsid w:val="000D750C"/>
    <w:rsid w:val="000D7B78"/>
    <w:rsid w:val="000E0252"/>
    <w:rsid w:val="000E02B0"/>
    <w:rsid w:val="000E1635"/>
    <w:rsid w:val="000E2FF2"/>
    <w:rsid w:val="000E32FB"/>
    <w:rsid w:val="000E3C75"/>
    <w:rsid w:val="000E4DFC"/>
    <w:rsid w:val="000E4F22"/>
    <w:rsid w:val="000E5A4B"/>
    <w:rsid w:val="000E6189"/>
    <w:rsid w:val="000E6195"/>
    <w:rsid w:val="000E70D8"/>
    <w:rsid w:val="000E77BE"/>
    <w:rsid w:val="000F0A3C"/>
    <w:rsid w:val="000F0AEA"/>
    <w:rsid w:val="000F0BF3"/>
    <w:rsid w:val="000F2246"/>
    <w:rsid w:val="000F23ED"/>
    <w:rsid w:val="000F69CB"/>
    <w:rsid w:val="000F7E8D"/>
    <w:rsid w:val="00102B4F"/>
    <w:rsid w:val="00102BCE"/>
    <w:rsid w:val="0010426D"/>
    <w:rsid w:val="001047C9"/>
    <w:rsid w:val="00104881"/>
    <w:rsid w:val="0010572B"/>
    <w:rsid w:val="00105A1F"/>
    <w:rsid w:val="001109F6"/>
    <w:rsid w:val="00110C68"/>
    <w:rsid w:val="00112A2B"/>
    <w:rsid w:val="00112E20"/>
    <w:rsid w:val="00113536"/>
    <w:rsid w:val="00114444"/>
    <w:rsid w:val="00114864"/>
    <w:rsid w:val="00115BEE"/>
    <w:rsid w:val="00116C62"/>
    <w:rsid w:val="00120852"/>
    <w:rsid w:val="00120FF4"/>
    <w:rsid w:val="001217C5"/>
    <w:rsid w:val="001221FD"/>
    <w:rsid w:val="00122FD8"/>
    <w:rsid w:val="0012585E"/>
    <w:rsid w:val="00125DD7"/>
    <w:rsid w:val="001260D2"/>
    <w:rsid w:val="00126933"/>
    <w:rsid w:val="001270B3"/>
    <w:rsid w:val="00127CD0"/>
    <w:rsid w:val="00130DCB"/>
    <w:rsid w:val="00131C6B"/>
    <w:rsid w:val="00131F38"/>
    <w:rsid w:val="001334AB"/>
    <w:rsid w:val="00133649"/>
    <w:rsid w:val="0013594A"/>
    <w:rsid w:val="00136176"/>
    <w:rsid w:val="00137E9E"/>
    <w:rsid w:val="00145DCA"/>
    <w:rsid w:val="00146489"/>
    <w:rsid w:val="00151163"/>
    <w:rsid w:val="001523D2"/>
    <w:rsid w:val="001540EF"/>
    <w:rsid w:val="00155819"/>
    <w:rsid w:val="001564F3"/>
    <w:rsid w:val="001575DB"/>
    <w:rsid w:val="00157B07"/>
    <w:rsid w:val="00160B88"/>
    <w:rsid w:val="00161735"/>
    <w:rsid w:val="00161B49"/>
    <w:rsid w:val="00165838"/>
    <w:rsid w:val="001666B2"/>
    <w:rsid w:val="001669E8"/>
    <w:rsid w:val="00166F89"/>
    <w:rsid w:val="0017049F"/>
    <w:rsid w:val="00170728"/>
    <w:rsid w:val="00171543"/>
    <w:rsid w:val="0017230B"/>
    <w:rsid w:val="001734E8"/>
    <w:rsid w:val="0017466D"/>
    <w:rsid w:val="00174D6A"/>
    <w:rsid w:val="00174E1C"/>
    <w:rsid w:val="001754B3"/>
    <w:rsid w:val="00177B4D"/>
    <w:rsid w:val="00180B98"/>
    <w:rsid w:val="001830EE"/>
    <w:rsid w:val="001845BE"/>
    <w:rsid w:val="0018493B"/>
    <w:rsid w:val="0018498D"/>
    <w:rsid w:val="00185CC3"/>
    <w:rsid w:val="00186287"/>
    <w:rsid w:val="00186B33"/>
    <w:rsid w:val="001871BD"/>
    <w:rsid w:val="0018730E"/>
    <w:rsid w:val="00187B3B"/>
    <w:rsid w:val="001907F9"/>
    <w:rsid w:val="0019750C"/>
    <w:rsid w:val="001A051C"/>
    <w:rsid w:val="001A2677"/>
    <w:rsid w:val="001A2C30"/>
    <w:rsid w:val="001A388E"/>
    <w:rsid w:val="001A3ADC"/>
    <w:rsid w:val="001A5B9E"/>
    <w:rsid w:val="001A5F95"/>
    <w:rsid w:val="001B157F"/>
    <w:rsid w:val="001B16D1"/>
    <w:rsid w:val="001B17C7"/>
    <w:rsid w:val="001B55E3"/>
    <w:rsid w:val="001B576F"/>
    <w:rsid w:val="001B71DB"/>
    <w:rsid w:val="001C0A3D"/>
    <w:rsid w:val="001C16F5"/>
    <w:rsid w:val="001C3AEF"/>
    <w:rsid w:val="001C4DAE"/>
    <w:rsid w:val="001C6A54"/>
    <w:rsid w:val="001D0C34"/>
    <w:rsid w:val="001D3C1C"/>
    <w:rsid w:val="001D4160"/>
    <w:rsid w:val="001D448D"/>
    <w:rsid w:val="001E0020"/>
    <w:rsid w:val="001E023E"/>
    <w:rsid w:val="001E1051"/>
    <w:rsid w:val="001E32F3"/>
    <w:rsid w:val="001E33DE"/>
    <w:rsid w:val="001E3C26"/>
    <w:rsid w:val="001E65B4"/>
    <w:rsid w:val="001E6A5D"/>
    <w:rsid w:val="001E6D07"/>
    <w:rsid w:val="001E70AD"/>
    <w:rsid w:val="001E7296"/>
    <w:rsid w:val="001E73CB"/>
    <w:rsid w:val="001F1352"/>
    <w:rsid w:val="001F1B4B"/>
    <w:rsid w:val="001F1F85"/>
    <w:rsid w:val="001F2E69"/>
    <w:rsid w:val="001F3A84"/>
    <w:rsid w:val="001F4A9F"/>
    <w:rsid w:val="001F5EC2"/>
    <w:rsid w:val="001F6014"/>
    <w:rsid w:val="001F69BE"/>
    <w:rsid w:val="0020193F"/>
    <w:rsid w:val="00204CF7"/>
    <w:rsid w:val="00205A1B"/>
    <w:rsid w:val="00205C75"/>
    <w:rsid w:val="002062FD"/>
    <w:rsid w:val="00213A46"/>
    <w:rsid w:val="00213EFA"/>
    <w:rsid w:val="00215969"/>
    <w:rsid w:val="00225B47"/>
    <w:rsid w:val="00231211"/>
    <w:rsid w:val="00234713"/>
    <w:rsid w:val="002416F1"/>
    <w:rsid w:val="00242356"/>
    <w:rsid w:val="002435D5"/>
    <w:rsid w:val="002472A4"/>
    <w:rsid w:val="00252196"/>
    <w:rsid w:val="00252FCB"/>
    <w:rsid w:val="00261AED"/>
    <w:rsid w:val="00261B97"/>
    <w:rsid w:val="00262606"/>
    <w:rsid w:val="002628B1"/>
    <w:rsid w:val="00262930"/>
    <w:rsid w:val="00262D66"/>
    <w:rsid w:val="00263F50"/>
    <w:rsid w:val="00265C5A"/>
    <w:rsid w:val="00266496"/>
    <w:rsid w:val="0026739D"/>
    <w:rsid w:val="002740DF"/>
    <w:rsid w:val="00274344"/>
    <w:rsid w:val="0027625C"/>
    <w:rsid w:val="00277105"/>
    <w:rsid w:val="00277AA1"/>
    <w:rsid w:val="00277AD5"/>
    <w:rsid w:val="00281DF7"/>
    <w:rsid w:val="00282424"/>
    <w:rsid w:val="00283F4E"/>
    <w:rsid w:val="002850D0"/>
    <w:rsid w:val="0028579E"/>
    <w:rsid w:val="0028637F"/>
    <w:rsid w:val="002868A7"/>
    <w:rsid w:val="00286C4F"/>
    <w:rsid w:val="00286D56"/>
    <w:rsid w:val="00287A0D"/>
    <w:rsid w:val="0029471F"/>
    <w:rsid w:val="002960B1"/>
    <w:rsid w:val="002A157E"/>
    <w:rsid w:val="002A3482"/>
    <w:rsid w:val="002A36D1"/>
    <w:rsid w:val="002A62C9"/>
    <w:rsid w:val="002A6C63"/>
    <w:rsid w:val="002A7A4E"/>
    <w:rsid w:val="002B1E2F"/>
    <w:rsid w:val="002B2933"/>
    <w:rsid w:val="002B3D85"/>
    <w:rsid w:val="002B3E7A"/>
    <w:rsid w:val="002B4192"/>
    <w:rsid w:val="002B4243"/>
    <w:rsid w:val="002B4D86"/>
    <w:rsid w:val="002B638B"/>
    <w:rsid w:val="002B63E5"/>
    <w:rsid w:val="002B66D1"/>
    <w:rsid w:val="002B67DC"/>
    <w:rsid w:val="002C0132"/>
    <w:rsid w:val="002C0F37"/>
    <w:rsid w:val="002C11F5"/>
    <w:rsid w:val="002C32A5"/>
    <w:rsid w:val="002C33FA"/>
    <w:rsid w:val="002C4285"/>
    <w:rsid w:val="002C4981"/>
    <w:rsid w:val="002C5727"/>
    <w:rsid w:val="002C72D5"/>
    <w:rsid w:val="002C74F8"/>
    <w:rsid w:val="002C7DEE"/>
    <w:rsid w:val="002D030B"/>
    <w:rsid w:val="002D136E"/>
    <w:rsid w:val="002D3EDA"/>
    <w:rsid w:val="002D4501"/>
    <w:rsid w:val="002D4BAB"/>
    <w:rsid w:val="002D5BC4"/>
    <w:rsid w:val="002D6521"/>
    <w:rsid w:val="002D7AFC"/>
    <w:rsid w:val="002E19F8"/>
    <w:rsid w:val="002E2690"/>
    <w:rsid w:val="002E4880"/>
    <w:rsid w:val="002E5CD2"/>
    <w:rsid w:val="002E68C8"/>
    <w:rsid w:val="002F00A9"/>
    <w:rsid w:val="002F2185"/>
    <w:rsid w:val="002F4994"/>
    <w:rsid w:val="002F5077"/>
    <w:rsid w:val="002F6AC4"/>
    <w:rsid w:val="002F76D1"/>
    <w:rsid w:val="00303DD3"/>
    <w:rsid w:val="00304999"/>
    <w:rsid w:val="00307891"/>
    <w:rsid w:val="00312C2C"/>
    <w:rsid w:val="00313B4B"/>
    <w:rsid w:val="0032164D"/>
    <w:rsid w:val="00321899"/>
    <w:rsid w:val="00324049"/>
    <w:rsid w:val="00325364"/>
    <w:rsid w:val="00325541"/>
    <w:rsid w:val="00325ABA"/>
    <w:rsid w:val="003260CF"/>
    <w:rsid w:val="00327B8C"/>
    <w:rsid w:val="00327BE9"/>
    <w:rsid w:val="00330ADB"/>
    <w:rsid w:val="00330BDE"/>
    <w:rsid w:val="00333FA6"/>
    <w:rsid w:val="0033602C"/>
    <w:rsid w:val="0034154C"/>
    <w:rsid w:val="003430F6"/>
    <w:rsid w:val="003446D4"/>
    <w:rsid w:val="00344C73"/>
    <w:rsid w:val="003460D2"/>
    <w:rsid w:val="003472F3"/>
    <w:rsid w:val="00351066"/>
    <w:rsid w:val="003559D6"/>
    <w:rsid w:val="00355F1C"/>
    <w:rsid w:val="003575F9"/>
    <w:rsid w:val="003602DB"/>
    <w:rsid w:val="003611D2"/>
    <w:rsid w:val="0036133E"/>
    <w:rsid w:val="003621DB"/>
    <w:rsid w:val="00362C7A"/>
    <w:rsid w:val="003635D9"/>
    <w:rsid w:val="003653DB"/>
    <w:rsid w:val="00365C93"/>
    <w:rsid w:val="00366C9C"/>
    <w:rsid w:val="003672D0"/>
    <w:rsid w:val="0037156B"/>
    <w:rsid w:val="00372272"/>
    <w:rsid w:val="00373370"/>
    <w:rsid w:val="00375AFD"/>
    <w:rsid w:val="003776F4"/>
    <w:rsid w:val="00377C55"/>
    <w:rsid w:val="00380AB6"/>
    <w:rsid w:val="003811DF"/>
    <w:rsid w:val="00381C9A"/>
    <w:rsid w:val="003826DD"/>
    <w:rsid w:val="0038402E"/>
    <w:rsid w:val="00384915"/>
    <w:rsid w:val="00385B2E"/>
    <w:rsid w:val="00386B94"/>
    <w:rsid w:val="00391035"/>
    <w:rsid w:val="00392194"/>
    <w:rsid w:val="00395697"/>
    <w:rsid w:val="00396326"/>
    <w:rsid w:val="00396C31"/>
    <w:rsid w:val="00396D22"/>
    <w:rsid w:val="003A1C1B"/>
    <w:rsid w:val="003A358F"/>
    <w:rsid w:val="003A3EBA"/>
    <w:rsid w:val="003A6CA5"/>
    <w:rsid w:val="003A6CAB"/>
    <w:rsid w:val="003B0CB5"/>
    <w:rsid w:val="003B4C8D"/>
    <w:rsid w:val="003B539B"/>
    <w:rsid w:val="003B5758"/>
    <w:rsid w:val="003B6603"/>
    <w:rsid w:val="003B7DA2"/>
    <w:rsid w:val="003C57C5"/>
    <w:rsid w:val="003D11B4"/>
    <w:rsid w:val="003D2789"/>
    <w:rsid w:val="003D3985"/>
    <w:rsid w:val="003D5029"/>
    <w:rsid w:val="003E089A"/>
    <w:rsid w:val="003E16A3"/>
    <w:rsid w:val="003E2B6B"/>
    <w:rsid w:val="003E4824"/>
    <w:rsid w:val="003E5815"/>
    <w:rsid w:val="003E5FB0"/>
    <w:rsid w:val="003E7B4E"/>
    <w:rsid w:val="003F2BCC"/>
    <w:rsid w:val="003F3773"/>
    <w:rsid w:val="003F478A"/>
    <w:rsid w:val="003F51DE"/>
    <w:rsid w:val="003F56E7"/>
    <w:rsid w:val="003F7548"/>
    <w:rsid w:val="0040003D"/>
    <w:rsid w:val="004011B2"/>
    <w:rsid w:val="00404AD2"/>
    <w:rsid w:val="00404FA4"/>
    <w:rsid w:val="00405B9F"/>
    <w:rsid w:val="00406297"/>
    <w:rsid w:val="00406423"/>
    <w:rsid w:val="00406564"/>
    <w:rsid w:val="004066CC"/>
    <w:rsid w:val="00406822"/>
    <w:rsid w:val="00411848"/>
    <w:rsid w:val="0041199C"/>
    <w:rsid w:val="00413FE0"/>
    <w:rsid w:val="00414212"/>
    <w:rsid w:val="004145C6"/>
    <w:rsid w:val="00421AC6"/>
    <w:rsid w:val="004253FF"/>
    <w:rsid w:val="00425658"/>
    <w:rsid w:val="00430360"/>
    <w:rsid w:val="00431FB7"/>
    <w:rsid w:val="00432172"/>
    <w:rsid w:val="00432297"/>
    <w:rsid w:val="00433BDF"/>
    <w:rsid w:val="0043516C"/>
    <w:rsid w:val="004356B0"/>
    <w:rsid w:val="00443021"/>
    <w:rsid w:val="00444859"/>
    <w:rsid w:val="004448AC"/>
    <w:rsid w:val="0044572C"/>
    <w:rsid w:val="00445A08"/>
    <w:rsid w:val="00447242"/>
    <w:rsid w:val="00447C07"/>
    <w:rsid w:val="0045056B"/>
    <w:rsid w:val="00451F17"/>
    <w:rsid w:val="00452234"/>
    <w:rsid w:val="0045376B"/>
    <w:rsid w:val="00454DF3"/>
    <w:rsid w:val="00454F0E"/>
    <w:rsid w:val="004560D2"/>
    <w:rsid w:val="00456537"/>
    <w:rsid w:val="00456655"/>
    <w:rsid w:val="00456A32"/>
    <w:rsid w:val="00460662"/>
    <w:rsid w:val="00460AD6"/>
    <w:rsid w:val="00464691"/>
    <w:rsid w:val="004658D6"/>
    <w:rsid w:val="00465E16"/>
    <w:rsid w:val="00466A24"/>
    <w:rsid w:val="00470837"/>
    <w:rsid w:val="00472D05"/>
    <w:rsid w:val="004758D0"/>
    <w:rsid w:val="004764DF"/>
    <w:rsid w:val="004766ED"/>
    <w:rsid w:val="00476967"/>
    <w:rsid w:val="004770D0"/>
    <w:rsid w:val="00481CE0"/>
    <w:rsid w:val="00482124"/>
    <w:rsid w:val="00482687"/>
    <w:rsid w:val="00483771"/>
    <w:rsid w:val="00483B7D"/>
    <w:rsid w:val="00484450"/>
    <w:rsid w:val="00485A69"/>
    <w:rsid w:val="004904EB"/>
    <w:rsid w:val="00490A97"/>
    <w:rsid w:val="00490E46"/>
    <w:rsid w:val="00491AE2"/>
    <w:rsid w:val="004922D9"/>
    <w:rsid w:val="004926EF"/>
    <w:rsid w:val="004928F0"/>
    <w:rsid w:val="00493A6C"/>
    <w:rsid w:val="00494454"/>
    <w:rsid w:val="00496103"/>
    <w:rsid w:val="004A18BC"/>
    <w:rsid w:val="004A21F2"/>
    <w:rsid w:val="004A340B"/>
    <w:rsid w:val="004A486B"/>
    <w:rsid w:val="004A5029"/>
    <w:rsid w:val="004B2FB0"/>
    <w:rsid w:val="004B41BE"/>
    <w:rsid w:val="004B4DEF"/>
    <w:rsid w:val="004B65DD"/>
    <w:rsid w:val="004C000F"/>
    <w:rsid w:val="004C0256"/>
    <w:rsid w:val="004C03B5"/>
    <w:rsid w:val="004C294E"/>
    <w:rsid w:val="004C32C9"/>
    <w:rsid w:val="004C3A76"/>
    <w:rsid w:val="004C3F15"/>
    <w:rsid w:val="004C5C0A"/>
    <w:rsid w:val="004C6358"/>
    <w:rsid w:val="004D05DA"/>
    <w:rsid w:val="004D1221"/>
    <w:rsid w:val="004D1A1D"/>
    <w:rsid w:val="004D1DB6"/>
    <w:rsid w:val="004D21D7"/>
    <w:rsid w:val="004D2DD5"/>
    <w:rsid w:val="004D352A"/>
    <w:rsid w:val="004D4372"/>
    <w:rsid w:val="004D74DA"/>
    <w:rsid w:val="004E13F5"/>
    <w:rsid w:val="004E432E"/>
    <w:rsid w:val="004E4802"/>
    <w:rsid w:val="004F2C01"/>
    <w:rsid w:val="004F3747"/>
    <w:rsid w:val="004F3B7C"/>
    <w:rsid w:val="004F4DA6"/>
    <w:rsid w:val="004F54EB"/>
    <w:rsid w:val="004F5837"/>
    <w:rsid w:val="004F66FF"/>
    <w:rsid w:val="00500A79"/>
    <w:rsid w:val="005012CF"/>
    <w:rsid w:val="00501757"/>
    <w:rsid w:val="00503E0F"/>
    <w:rsid w:val="0050572C"/>
    <w:rsid w:val="0050780E"/>
    <w:rsid w:val="00510B7C"/>
    <w:rsid w:val="00512618"/>
    <w:rsid w:val="00514715"/>
    <w:rsid w:val="0051568E"/>
    <w:rsid w:val="005207F3"/>
    <w:rsid w:val="00524E14"/>
    <w:rsid w:val="005252D5"/>
    <w:rsid w:val="00525608"/>
    <w:rsid w:val="00525B4C"/>
    <w:rsid w:val="00525EC6"/>
    <w:rsid w:val="00532377"/>
    <w:rsid w:val="0053743D"/>
    <w:rsid w:val="00537B0F"/>
    <w:rsid w:val="00545769"/>
    <w:rsid w:val="00545B72"/>
    <w:rsid w:val="00546D6D"/>
    <w:rsid w:val="005475CA"/>
    <w:rsid w:val="0055093F"/>
    <w:rsid w:val="005517AE"/>
    <w:rsid w:val="005524AF"/>
    <w:rsid w:val="00555369"/>
    <w:rsid w:val="00561FE1"/>
    <w:rsid w:val="005622FA"/>
    <w:rsid w:val="0056253A"/>
    <w:rsid w:val="00562599"/>
    <w:rsid w:val="00563EF2"/>
    <w:rsid w:val="00565A3B"/>
    <w:rsid w:val="00571796"/>
    <w:rsid w:val="00572A30"/>
    <w:rsid w:val="00572A73"/>
    <w:rsid w:val="00573D65"/>
    <w:rsid w:val="005746F2"/>
    <w:rsid w:val="00575C4A"/>
    <w:rsid w:val="00575FCD"/>
    <w:rsid w:val="00581EC1"/>
    <w:rsid w:val="00582D50"/>
    <w:rsid w:val="005841A0"/>
    <w:rsid w:val="00584206"/>
    <w:rsid w:val="005848B9"/>
    <w:rsid w:val="00585049"/>
    <w:rsid w:val="00585DA6"/>
    <w:rsid w:val="00590335"/>
    <w:rsid w:val="00591BB1"/>
    <w:rsid w:val="00591D9D"/>
    <w:rsid w:val="00592D2A"/>
    <w:rsid w:val="00594DF8"/>
    <w:rsid w:val="00595961"/>
    <w:rsid w:val="00596A3D"/>
    <w:rsid w:val="005A12E0"/>
    <w:rsid w:val="005A1A5D"/>
    <w:rsid w:val="005A210E"/>
    <w:rsid w:val="005A28C7"/>
    <w:rsid w:val="005A3148"/>
    <w:rsid w:val="005A31FE"/>
    <w:rsid w:val="005A6761"/>
    <w:rsid w:val="005A7056"/>
    <w:rsid w:val="005A7907"/>
    <w:rsid w:val="005A7A69"/>
    <w:rsid w:val="005B2C36"/>
    <w:rsid w:val="005B2DF4"/>
    <w:rsid w:val="005B2FBB"/>
    <w:rsid w:val="005B3B5A"/>
    <w:rsid w:val="005B472C"/>
    <w:rsid w:val="005B5C72"/>
    <w:rsid w:val="005B5FBF"/>
    <w:rsid w:val="005B61DD"/>
    <w:rsid w:val="005C24E8"/>
    <w:rsid w:val="005C29E5"/>
    <w:rsid w:val="005C3A03"/>
    <w:rsid w:val="005C4156"/>
    <w:rsid w:val="005C5786"/>
    <w:rsid w:val="005C7CA8"/>
    <w:rsid w:val="005C7FBB"/>
    <w:rsid w:val="005D2443"/>
    <w:rsid w:val="005D307B"/>
    <w:rsid w:val="005D4047"/>
    <w:rsid w:val="005D7720"/>
    <w:rsid w:val="005E07C2"/>
    <w:rsid w:val="005E1285"/>
    <w:rsid w:val="005E59C1"/>
    <w:rsid w:val="005E7988"/>
    <w:rsid w:val="005E7A7C"/>
    <w:rsid w:val="005E7DD8"/>
    <w:rsid w:val="005F0256"/>
    <w:rsid w:val="005F0699"/>
    <w:rsid w:val="005F0BFB"/>
    <w:rsid w:val="005F2BA5"/>
    <w:rsid w:val="005F49A8"/>
    <w:rsid w:val="005F5F26"/>
    <w:rsid w:val="005F7CA1"/>
    <w:rsid w:val="006012EC"/>
    <w:rsid w:val="00601E21"/>
    <w:rsid w:val="00604B1C"/>
    <w:rsid w:val="006058E7"/>
    <w:rsid w:val="00610968"/>
    <w:rsid w:val="006121AB"/>
    <w:rsid w:val="00612820"/>
    <w:rsid w:val="00612D09"/>
    <w:rsid w:val="006142EE"/>
    <w:rsid w:val="0061776D"/>
    <w:rsid w:val="00621AE7"/>
    <w:rsid w:val="00622020"/>
    <w:rsid w:val="006231F2"/>
    <w:rsid w:val="00631EEC"/>
    <w:rsid w:val="00632553"/>
    <w:rsid w:val="006331EA"/>
    <w:rsid w:val="00634CFB"/>
    <w:rsid w:val="00634D47"/>
    <w:rsid w:val="00637520"/>
    <w:rsid w:val="00640DBE"/>
    <w:rsid w:val="00642323"/>
    <w:rsid w:val="006423E7"/>
    <w:rsid w:val="0064391D"/>
    <w:rsid w:val="00643BF5"/>
    <w:rsid w:val="00644033"/>
    <w:rsid w:val="00644434"/>
    <w:rsid w:val="006453B6"/>
    <w:rsid w:val="00645819"/>
    <w:rsid w:val="00650EBD"/>
    <w:rsid w:val="00653BEF"/>
    <w:rsid w:val="00655D9A"/>
    <w:rsid w:val="00656900"/>
    <w:rsid w:val="00656B72"/>
    <w:rsid w:val="00656C29"/>
    <w:rsid w:val="00657742"/>
    <w:rsid w:val="006605E0"/>
    <w:rsid w:val="00660CFA"/>
    <w:rsid w:val="006630C3"/>
    <w:rsid w:val="0066406C"/>
    <w:rsid w:val="00664124"/>
    <w:rsid w:val="0066460A"/>
    <w:rsid w:val="0066517C"/>
    <w:rsid w:val="00666E10"/>
    <w:rsid w:val="00673009"/>
    <w:rsid w:val="00673643"/>
    <w:rsid w:val="00675104"/>
    <w:rsid w:val="00676297"/>
    <w:rsid w:val="00676A85"/>
    <w:rsid w:val="0068022A"/>
    <w:rsid w:val="00680D7E"/>
    <w:rsid w:val="006835D2"/>
    <w:rsid w:val="006839D4"/>
    <w:rsid w:val="00683DF6"/>
    <w:rsid w:val="00686BD4"/>
    <w:rsid w:val="00686EEE"/>
    <w:rsid w:val="00690091"/>
    <w:rsid w:val="00690122"/>
    <w:rsid w:val="006909A9"/>
    <w:rsid w:val="00692323"/>
    <w:rsid w:val="0069456A"/>
    <w:rsid w:val="00696A43"/>
    <w:rsid w:val="00696BAA"/>
    <w:rsid w:val="00696D3B"/>
    <w:rsid w:val="006970A0"/>
    <w:rsid w:val="00697161"/>
    <w:rsid w:val="006A01DD"/>
    <w:rsid w:val="006B07A2"/>
    <w:rsid w:val="006B1014"/>
    <w:rsid w:val="006B1323"/>
    <w:rsid w:val="006B2BB6"/>
    <w:rsid w:val="006B2CCF"/>
    <w:rsid w:val="006C079B"/>
    <w:rsid w:val="006C37DA"/>
    <w:rsid w:val="006C4D73"/>
    <w:rsid w:val="006C5CEB"/>
    <w:rsid w:val="006D0226"/>
    <w:rsid w:val="006D162B"/>
    <w:rsid w:val="006D1C47"/>
    <w:rsid w:val="006D1DA6"/>
    <w:rsid w:val="006D2EC4"/>
    <w:rsid w:val="006D3AD2"/>
    <w:rsid w:val="006D3C8C"/>
    <w:rsid w:val="006D3F3A"/>
    <w:rsid w:val="006D497F"/>
    <w:rsid w:val="006E0277"/>
    <w:rsid w:val="006E216F"/>
    <w:rsid w:val="006E2E9A"/>
    <w:rsid w:val="006E45FA"/>
    <w:rsid w:val="006E501A"/>
    <w:rsid w:val="006E5936"/>
    <w:rsid w:val="006E72EB"/>
    <w:rsid w:val="006E7C01"/>
    <w:rsid w:val="006F0442"/>
    <w:rsid w:val="006F0887"/>
    <w:rsid w:val="006F2737"/>
    <w:rsid w:val="006F2CF6"/>
    <w:rsid w:val="006F441F"/>
    <w:rsid w:val="006F4A58"/>
    <w:rsid w:val="006F6110"/>
    <w:rsid w:val="006F7026"/>
    <w:rsid w:val="00700B32"/>
    <w:rsid w:val="007011F2"/>
    <w:rsid w:val="00702DDE"/>
    <w:rsid w:val="0070384D"/>
    <w:rsid w:val="00705999"/>
    <w:rsid w:val="007071E2"/>
    <w:rsid w:val="0070773C"/>
    <w:rsid w:val="00707E77"/>
    <w:rsid w:val="00711113"/>
    <w:rsid w:val="00712916"/>
    <w:rsid w:val="00715D49"/>
    <w:rsid w:val="007167ED"/>
    <w:rsid w:val="007204B2"/>
    <w:rsid w:val="0072172A"/>
    <w:rsid w:val="0072298D"/>
    <w:rsid w:val="00724BCC"/>
    <w:rsid w:val="00727FE8"/>
    <w:rsid w:val="00730DC7"/>
    <w:rsid w:val="00731463"/>
    <w:rsid w:val="0073204D"/>
    <w:rsid w:val="007345D3"/>
    <w:rsid w:val="00737274"/>
    <w:rsid w:val="00737FCF"/>
    <w:rsid w:val="007409BF"/>
    <w:rsid w:val="00740D01"/>
    <w:rsid w:val="00741179"/>
    <w:rsid w:val="0074205B"/>
    <w:rsid w:val="0074247A"/>
    <w:rsid w:val="00743217"/>
    <w:rsid w:val="007442EB"/>
    <w:rsid w:val="0074528A"/>
    <w:rsid w:val="00745315"/>
    <w:rsid w:val="00745439"/>
    <w:rsid w:val="007507B6"/>
    <w:rsid w:val="007535C1"/>
    <w:rsid w:val="007538A7"/>
    <w:rsid w:val="00753DF2"/>
    <w:rsid w:val="0075687B"/>
    <w:rsid w:val="00756F5A"/>
    <w:rsid w:val="0075737E"/>
    <w:rsid w:val="007574E6"/>
    <w:rsid w:val="00757C33"/>
    <w:rsid w:val="00757D33"/>
    <w:rsid w:val="007613E3"/>
    <w:rsid w:val="007626B9"/>
    <w:rsid w:val="007627EC"/>
    <w:rsid w:val="007661B1"/>
    <w:rsid w:val="00767262"/>
    <w:rsid w:val="00775103"/>
    <w:rsid w:val="007757C8"/>
    <w:rsid w:val="00775A61"/>
    <w:rsid w:val="007760E2"/>
    <w:rsid w:val="00776128"/>
    <w:rsid w:val="00776343"/>
    <w:rsid w:val="00776B93"/>
    <w:rsid w:val="007777D5"/>
    <w:rsid w:val="00781143"/>
    <w:rsid w:val="00783E0E"/>
    <w:rsid w:val="00784A25"/>
    <w:rsid w:val="007902B1"/>
    <w:rsid w:val="00791D2D"/>
    <w:rsid w:val="00792EA7"/>
    <w:rsid w:val="0079349B"/>
    <w:rsid w:val="00793E8C"/>
    <w:rsid w:val="00796F2C"/>
    <w:rsid w:val="007A306A"/>
    <w:rsid w:val="007A3185"/>
    <w:rsid w:val="007A3CED"/>
    <w:rsid w:val="007A40F2"/>
    <w:rsid w:val="007A6564"/>
    <w:rsid w:val="007A6D15"/>
    <w:rsid w:val="007B0527"/>
    <w:rsid w:val="007B0D1E"/>
    <w:rsid w:val="007B2892"/>
    <w:rsid w:val="007B3C37"/>
    <w:rsid w:val="007B426E"/>
    <w:rsid w:val="007B4674"/>
    <w:rsid w:val="007B4EDD"/>
    <w:rsid w:val="007B5B73"/>
    <w:rsid w:val="007B5D4B"/>
    <w:rsid w:val="007B7864"/>
    <w:rsid w:val="007C0081"/>
    <w:rsid w:val="007C28EE"/>
    <w:rsid w:val="007C2A38"/>
    <w:rsid w:val="007C2E71"/>
    <w:rsid w:val="007C3DF7"/>
    <w:rsid w:val="007C4161"/>
    <w:rsid w:val="007C6F4B"/>
    <w:rsid w:val="007C7656"/>
    <w:rsid w:val="007D1AF8"/>
    <w:rsid w:val="007D4A6C"/>
    <w:rsid w:val="007D68AF"/>
    <w:rsid w:val="007D7674"/>
    <w:rsid w:val="007E0D0F"/>
    <w:rsid w:val="007E16D7"/>
    <w:rsid w:val="007E1F95"/>
    <w:rsid w:val="007E3383"/>
    <w:rsid w:val="007E40B1"/>
    <w:rsid w:val="007E424A"/>
    <w:rsid w:val="007E4437"/>
    <w:rsid w:val="007E4699"/>
    <w:rsid w:val="007E5A0A"/>
    <w:rsid w:val="007E6210"/>
    <w:rsid w:val="007F1262"/>
    <w:rsid w:val="007F1B0E"/>
    <w:rsid w:val="007F1D00"/>
    <w:rsid w:val="007F2A75"/>
    <w:rsid w:val="007F4DC2"/>
    <w:rsid w:val="007F5061"/>
    <w:rsid w:val="007F5D9F"/>
    <w:rsid w:val="007F6107"/>
    <w:rsid w:val="007F61CF"/>
    <w:rsid w:val="007F669F"/>
    <w:rsid w:val="007F69EF"/>
    <w:rsid w:val="00801265"/>
    <w:rsid w:val="00801838"/>
    <w:rsid w:val="00804278"/>
    <w:rsid w:val="00804D03"/>
    <w:rsid w:val="00805C60"/>
    <w:rsid w:val="0080622E"/>
    <w:rsid w:val="00806A4B"/>
    <w:rsid w:val="00807159"/>
    <w:rsid w:val="00807EB7"/>
    <w:rsid w:val="00810582"/>
    <w:rsid w:val="008107D9"/>
    <w:rsid w:val="00810E87"/>
    <w:rsid w:val="00811971"/>
    <w:rsid w:val="00815C42"/>
    <w:rsid w:val="008169BF"/>
    <w:rsid w:val="00816AB5"/>
    <w:rsid w:val="00820392"/>
    <w:rsid w:val="00823448"/>
    <w:rsid w:val="00824635"/>
    <w:rsid w:val="00830F24"/>
    <w:rsid w:val="00831A67"/>
    <w:rsid w:val="00833177"/>
    <w:rsid w:val="00834C96"/>
    <w:rsid w:val="008364D1"/>
    <w:rsid w:val="00840CEB"/>
    <w:rsid w:val="00844005"/>
    <w:rsid w:val="0084498D"/>
    <w:rsid w:val="00844CD5"/>
    <w:rsid w:val="00845888"/>
    <w:rsid w:val="00845C89"/>
    <w:rsid w:val="008474D5"/>
    <w:rsid w:val="00850F7D"/>
    <w:rsid w:val="0085102A"/>
    <w:rsid w:val="008535ED"/>
    <w:rsid w:val="0085387B"/>
    <w:rsid w:val="00856CB8"/>
    <w:rsid w:val="00856FF3"/>
    <w:rsid w:val="00857465"/>
    <w:rsid w:val="00857922"/>
    <w:rsid w:val="0086290B"/>
    <w:rsid w:val="008647A8"/>
    <w:rsid w:val="00864FC8"/>
    <w:rsid w:val="00866371"/>
    <w:rsid w:val="00866E63"/>
    <w:rsid w:val="00870465"/>
    <w:rsid w:val="00871062"/>
    <w:rsid w:val="00871E9A"/>
    <w:rsid w:val="008721E8"/>
    <w:rsid w:val="00873737"/>
    <w:rsid w:val="00873F29"/>
    <w:rsid w:val="0087423B"/>
    <w:rsid w:val="008748C7"/>
    <w:rsid w:val="0087643A"/>
    <w:rsid w:val="00877CA3"/>
    <w:rsid w:val="0088022D"/>
    <w:rsid w:val="008802D4"/>
    <w:rsid w:val="00884190"/>
    <w:rsid w:val="00885DEB"/>
    <w:rsid w:val="00885EC3"/>
    <w:rsid w:val="00886040"/>
    <w:rsid w:val="00890372"/>
    <w:rsid w:val="0089048F"/>
    <w:rsid w:val="008907FF"/>
    <w:rsid w:val="00893C93"/>
    <w:rsid w:val="0089542E"/>
    <w:rsid w:val="00896963"/>
    <w:rsid w:val="00897D11"/>
    <w:rsid w:val="008A15B2"/>
    <w:rsid w:val="008A29F1"/>
    <w:rsid w:val="008A2FA6"/>
    <w:rsid w:val="008A4E57"/>
    <w:rsid w:val="008A69CB"/>
    <w:rsid w:val="008A6D05"/>
    <w:rsid w:val="008A77BF"/>
    <w:rsid w:val="008B067B"/>
    <w:rsid w:val="008B115D"/>
    <w:rsid w:val="008B2A9A"/>
    <w:rsid w:val="008B5061"/>
    <w:rsid w:val="008C1029"/>
    <w:rsid w:val="008C13BD"/>
    <w:rsid w:val="008C1815"/>
    <w:rsid w:val="008C26F1"/>
    <w:rsid w:val="008C29AB"/>
    <w:rsid w:val="008C40E1"/>
    <w:rsid w:val="008C41D4"/>
    <w:rsid w:val="008C5150"/>
    <w:rsid w:val="008C57DB"/>
    <w:rsid w:val="008D0A48"/>
    <w:rsid w:val="008D28AF"/>
    <w:rsid w:val="008D3CD7"/>
    <w:rsid w:val="008D3D5D"/>
    <w:rsid w:val="008D7160"/>
    <w:rsid w:val="008E130F"/>
    <w:rsid w:val="008E237A"/>
    <w:rsid w:val="008E3055"/>
    <w:rsid w:val="008E348C"/>
    <w:rsid w:val="008E3C0B"/>
    <w:rsid w:val="008E71AD"/>
    <w:rsid w:val="008E7430"/>
    <w:rsid w:val="008F0237"/>
    <w:rsid w:val="008F0C11"/>
    <w:rsid w:val="008F1A6E"/>
    <w:rsid w:val="008F2558"/>
    <w:rsid w:val="008F29BF"/>
    <w:rsid w:val="008F438B"/>
    <w:rsid w:val="008F4E6D"/>
    <w:rsid w:val="008F595F"/>
    <w:rsid w:val="008F679D"/>
    <w:rsid w:val="008F6F68"/>
    <w:rsid w:val="008F7440"/>
    <w:rsid w:val="008F7A80"/>
    <w:rsid w:val="00900957"/>
    <w:rsid w:val="00900E93"/>
    <w:rsid w:val="009025D0"/>
    <w:rsid w:val="00902A88"/>
    <w:rsid w:val="00903CD8"/>
    <w:rsid w:val="00904BBF"/>
    <w:rsid w:val="0090528D"/>
    <w:rsid w:val="00906744"/>
    <w:rsid w:val="00906AB4"/>
    <w:rsid w:val="00907A49"/>
    <w:rsid w:val="00907CBD"/>
    <w:rsid w:val="00910BA3"/>
    <w:rsid w:val="00911072"/>
    <w:rsid w:val="00912DC1"/>
    <w:rsid w:val="00914342"/>
    <w:rsid w:val="009170AC"/>
    <w:rsid w:val="00917B61"/>
    <w:rsid w:val="00917C6E"/>
    <w:rsid w:val="00921292"/>
    <w:rsid w:val="00921709"/>
    <w:rsid w:val="009239D3"/>
    <w:rsid w:val="0092491F"/>
    <w:rsid w:val="00924B51"/>
    <w:rsid w:val="00925376"/>
    <w:rsid w:val="0092644A"/>
    <w:rsid w:val="0093065C"/>
    <w:rsid w:val="00933CEA"/>
    <w:rsid w:val="00933F99"/>
    <w:rsid w:val="00935CD9"/>
    <w:rsid w:val="00936A0D"/>
    <w:rsid w:val="00940927"/>
    <w:rsid w:val="00943199"/>
    <w:rsid w:val="0094331D"/>
    <w:rsid w:val="00945D0B"/>
    <w:rsid w:val="00945DD9"/>
    <w:rsid w:val="00950FCB"/>
    <w:rsid w:val="0095149F"/>
    <w:rsid w:val="00951B73"/>
    <w:rsid w:val="00953125"/>
    <w:rsid w:val="009536B7"/>
    <w:rsid w:val="009542B1"/>
    <w:rsid w:val="00956C4F"/>
    <w:rsid w:val="00957375"/>
    <w:rsid w:val="0095787C"/>
    <w:rsid w:val="00964F6B"/>
    <w:rsid w:val="00965B92"/>
    <w:rsid w:val="0096798D"/>
    <w:rsid w:val="00967A4E"/>
    <w:rsid w:val="00970114"/>
    <w:rsid w:val="00970314"/>
    <w:rsid w:val="009717E8"/>
    <w:rsid w:val="00971D9A"/>
    <w:rsid w:val="009739AA"/>
    <w:rsid w:val="00973B1B"/>
    <w:rsid w:val="009772C1"/>
    <w:rsid w:val="009773F4"/>
    <w:rsid w:val="00977D5E"/>
    <w:rsid w:val="0098006C"/>
    <w:rsid w:val="00982E9E"/>
    <w:rsid w:val="00983AAF"/>
    <w:rsid w:val="009843D7"/>
    <w:rsid w:val="009857DC"/>
    <w:rsid w:val="00985C7E"/>
    <w:rsid w:val="00987215"/>
    <w:rsid w:val="0099078D"/>
    <w:rsid w:val="009909EA"/>
    <w:rsid w:val="00991B7D"/>
    <w:rsid w:val="0099288E"/>
    <w:rsid w:val="00992E61"/>
    <w:rsid w:val="00994FAE"/>
    <w:rsid w:val="00997143"/>
    <w:rsid w:val="009A12DF"/>
    <w:rsid w:val="009A3D7A"/>
    <w:rsid w:val="009A63BF"/>
    <w:rsid w:val="009A6CFF"/>
    <w:rsid w:val="009A711A"/>
    <w:rsid w:val="009A747F"/>
    <w:rsid w:val="009A7C8C"/>
    <w:rsid w:val="009A7F1A"/>
    <w:rsid w:val="009B02AE"/>
    <w:rsid w:val="009B1CDF"/>
    <w:rsid w:val="009B3200"/>
    <w:rsid w:val="009B46E4"/>
    <w:rsid w:val="009B50C6"/>
    <w:rsid w:val="009B674D"/>
    <w:rsid w:val="009C03BE"/>
    <w:rsid w:val="009C0A50"/>
    <w:rsid w:val="009C144D"/>
    <w:rsid w:val="009C2970"/>
    <w:rsid w:val="009C43E1"/>
    <w:rsid w:val="009C5166"/>
    <w:rsid w:val="009C635D"/>
    <w:rsid w:val="009C68C3"/>
    <w:rsid w:val="009C68CB"/>
    <w:rsid w:val="009D0781"/>
    <w:rsid w:val="009E1D98"/>
    <w:rsid w:val="009E3BFD"/>
    <w:rsid w:val="009E4317"/>
    <w:rsid w:val="009E4D54"/>
    <w:rsid w:val="009E5CB8"/>
    <w:rsid w:val="009F3260"/>
    <w:rsid w:val="009F33C8"/>
    <w:rsid w:val="00A0214E"/>
    <w:rsid w:val="00A04775"/>
    <w:rsid w:val="00A07D60"/>
    <w:rsid w:val="00A100C0"/>
    <w:rsid w:val="00A1147A"/>
    <w:rsid w:val="00A130F2"/>
    <w:rsid w:val="00A1430D"/>
    <w:rsid w:val="00A14ACA"/>
    <w:rsid w:val="00A1521E"/>
    <w:rsid w:val="00A161CA"/>
    <w:rsid w:val="00A20280"/>
    <w:rsid w:val="00A22433"/>
    <w:rsid w:val="00A238C0"/>
    <w:rsid w:val="00A25890"/>
    <w:rsid w:val="00A263CD"/>
    <w:rsid w:val="00A321D3"/>
    <w:rsid w:val="00A32F0E"/>
    <w:rsid w:val="00A36943"/>
    <w:rsid w:val="00A36F67"/>
    <w:rsid w:val="00A37008"/>
    <w:rsid w:val="00A40A23"/>
    <w:rsid w:val="00A42210"/>
    <w:rsid w:val="00A42FFB"/>
    <w:rsid w:val="00A50A54"/>
    <w:rsid w:val="00A52361"/>
    <w:rsid w:val="00A5671A"/>
    <w:rsid w:val="00A57F50"/>
    <w:rsid w:val="00A60288"/>
    <w:rsid w:val="00A60970"/>
    <w:rsid w:val="00A61403"/>
    <w:rsid w:val="00A61D79"/>
    <w:rsid w:val="00A62D5E"/>
    <w:rsid w:val="00A63501"/>
    <w:rsid w:val="00A6350D"/>
    <w:rsid w:val="00A63590"/>
    <w:rsid w:val="00A65A0D"/>
    <w:rsid w:val="00A723F3"/>
    <w:rsid w:val="00A740DB"/>
    <w:rsid w:val="00A74534"/>
    <w:rsid w:val="00A74880"/>
    <w:rsid w:val="00A74B89"/>
    <w:rsid w:val="00A75D62"/>
    <w:rsid w:val="00A76B86"/>
    <w:rsid w:val="00A77986"/>
    <w:rsid w:val="00A77A99"/>
    <w:rsid w:val="00A80FC3"/>
    <w:rsid w:val="00A8228C"/>
    <w:rsid w:val="00A82E02"/>
    <w:rsid w:val="00A83C8B"/>
    <w:rsid w:val="00A84B41"/>
    <w:rsid w:val="00A85B0C"/>
    <w:rsid w:val="00A864AE"/>
    <w:rsid w:val="00A869B5"/>
    <w:rsid w:val="00A86CFA"/>
    <w:rsid w:val="00A8729B"/>
    <w:rsid w:val="00A87A7A"/>
    <w:rsid w:val="00A90D80"/>
    <w:rsid w:val="00A91D02"/>
    <w:rsid w:val="00A92E7F"/>
    <w:rsid w:val="00A952D8"/>
    <w:rsid w:val="00A95438"/>
    <w:rsid w:val="00A965E2"/>
    <w:rsid w:val="00A96CF4"/>
    <w:rsid w:val="00A96EC9"/>
    <w:rsid w:val="00A9761C"/>
    <w:rsid w:val="00AA15E6"/>
    <w:rsid w:val="00AA1874"/>
    <w:rsid w:val="00AA602F"/>
    <w:rsid w:val="00AB0961"/>
    <w:rsid w:val="00AB28E0"/>
    <w:rsid w:val="00AB494F"/>
    <w:rsid w:val="00AB658E"/>
    <w:rsid w:val="00AB6F24"/>
    <w:rsid w:val="00AB73AB"/>
    <w:rsid w:val="00AC05D5"/>
    <w:rsid w:val="00AC2A5F"/>
    <w:rsid w:val="00AC3986"/>
    <w:rsid w:val="00AC4B56"/>
    <w:rsid w:val="00AC61CB"/>
    <w:rsid w:val="00AC7CE4"/>
    <w:rsid w:val="00AD2B1A"/>
    <w:rsid w:val="00AD332B"/>
    <w:rsid w:val="00AD5F50"/>
    <w:rsid w:val="00AE0A16"/>
    <w:rsid w:val="00AE3874"/>
    <w:rsid w:val="00AE4BBE"/>
    <w:rsid w:val="00AE4EC8"/>
    <w:rsid w:val="00AE6BCB"/>
    <w:rsid w:val="00AE707B"/>
    <w:rsid w:val="00AF008B"/>
    <w:rsid w:val="00AF186D"/>
    <w:rsid w:val="00AF3192"/>
    <w:rsid w:val="00AF72E2"/>
    <w:rsid w:val="00AF75EA"/>
    <w:rsid w:val="00AF7E36"/>
    <w:rsid w:val="00B0000F"/>
    <w:rsid w:val="00B04ABC"/>
    <w:rsid w:val="00B0606A"/>
    <w:rsid w:val="00B064A1"/>
    <w:rsid w:val="00B06808"/>
    <w:rsid w:val="00B07AB8"/>
    <w:rsid w:val="00B07D86"/>
    <w:rsid w:val="00B10AB2"/>
    <w:rsid w:val="00B139C9"/>
    <w:rsid w:val="00B14668"/>
    <w:rsid w:val="00B17E9A"/>
    <w:rsid w:val="00B20B10"/>
    <w:rsid w:val="00B22635"/>
    <w:rsid w:val="00B237B5"/>
    <w:rsid w:val="00B25B1A"/>
    <w:rsid w:val="00B273EB"/>
    <w:rsid w:val="00B27741"/>
    <w:rsid w:val="00B300BC"/>
    <w:rsid w:val="00B321F3"/>
    <w:rsid w:val="00B34770"/>
    <w:rsid w:val="00B34A8E"/>
    <w:rsid w:val="00B36BC4"/>
    <w:rsid w:val="00B36F96"/>
    <w:rsid w:val="00B37C53"/>
    <w:rsid w:val="00B41B70"/>
    <w:rsid w:val="00B449BF"/>
    <w:rsid w:val="00B45D3D"/>
    <w:rsid w:val="00B55086"/>
    <w:rsid w:val="00B56495"/>
    <w:rsid w:val="00B62024"/>
    <w:rsid w:val="00B62C3C"/>
    <w:rsid w:val="00B63A64"/>
    <w:rsid w:val="00B63EE1"/>
    <w:rsid w:val="00B64246"/>
    <w:rsid w:val="00B656D2"/>
    <w:rsid w:val="00B67A1A"/>
    <w:rsid w:val="00B70AB2"/>
    <w:rsid w:val="00B72749"/>
    <w:rsid w:val="00B72FAF"/>
    <w:rsid w:val="00B7439C"/>
    <w:rsid w:val="00B7628D"/>
    <w:rsid w:val="00B771EF"/>
    <w:rsid w:val="00B77FE1"/>
    <w:rsid w:val="00B82D71"/>
    <w:rsid w:val="00B8385F"/>
    <w:rsid w:val="00B84EDB"/>
    <w:rsid w:val="00B852E2"/>
    <w:rsid w:val="00B85632"/>
    <w:rsid w:val="00B860A2"/>
    <w:rsid w:val="00B875BF"/>
    <w:rsid w:val="00B91464"/>
    <w:rsid w:val="00B938F2"/>
    <w:rsid w:val="00B94744"/>
    <w:rsid w:val="00B96CE4"/>
    <w:rsid w:val="00BA286D"/>
    <w:rsid w:val="00BA2F29"/>
    <w:rsid w:val="00BA41DF"/>
    <w:rsid w:val="00BA42CF"/>
    <w:rsid w:val="00BA603A"/>
    <w:rsid w:val="00BA634B"/>
    <w:rsid w:val="00BA6C31"/>
    <w:rsid w:val="00BB0AC7"/>
    <w:rsid w:val="00BB1BA3"/>
    <w:rsid w:val="00BB233D"/>
    <w:rsid w:val="00BB5A2C"/>
    <w:rsid w:val="00BB6388"/>
    <w:rsid w:val="00BB7833"/>
    <w:rsid w:val="00BC05BF"/>
    <w:rsid w:val="00BC0CAD"/>
    <w:rsid w:val="00BC1D98"/>
    <w:rsid w:val="00BC1E8F"/>
    <w:rsid w:val="00BC26CE"/>
    <w:rsid w:val="00BC2988"/>
    <w:rsid w:val="00BC3673"/>
    <w:rsid w:val="00BC4639"/>
    <w:rsid w:val="00BC4C71"/>
    <w:rsid w:val="00BC565E"/>
    <w:rsid w:val="00BC70C1"/>
    <w:rsid w:val="00BC7317"/>
    <w:rsid w:val="00BD0C3E"/>
    <w:rsid w:val="00BD2799"/>
    <w:rsid w:val="00BD2B83"/>
    <w:rsid w:val="00BD2FF2"/>
    <w:rsid w:val="00BD3776"/>
    <w:rsid w:val="00BD3DDA"/>
    <w:rsid w:val="00BD562F"/>
    <w:rsid w:val="00BD58C5"/>
    <w:rsid w:val="00BD6E97"/>
    <w:rsid w:val="00BD77E5"/>
    <w:rsid w:val="00BD7E8C"/>
    <w:rsid w:val="00BE2832"/>
    <w:rsid w:val="00BE2D0B"/>
    <w:rsid w:val="00BE314F"/>
    <w:rsid w:val="00BE371E"/>
    <w:rsid w:val="00BE3B16"/>
    <w:rsid w:val="00BE43C4"/>
    <w:rsid w:val="00BE4443"/>
    <w:rsid w:val="00BE533D"/>
    <w:rsid w:val="00BE5DED"/>
    <w:rsid w:val="00BE6E0E"/>
    <w:rsid w:val="00BE7103"/>
    <w:rsid w:val="00BF0120"/>
    <w:rsid w:val="00BF1298"/>
    <w:rsid w:val="00BF15CD"/>
    <w:rsid w:val="00BF20A9"/>
    <w:rsid w:val="00BF2347"/>
    <w:rsid w:val="00BF28F5"/>
    <w:rsid w:val="00BF4D25"/>
    <w:rsid w:val="00BF51DD"/>
    <w:rsid w:val="00BF5458"/>
    <w:rsid w:val="00BF56DD"/>
    <w:rsid w:val="00BF7462"/>
    <w:rsid w:val="00C00668"/>
    <w:rsid w:val="00C01141"/>
    <w:rsid w:val="00C0201E"/>
    <w:rsid w:val="00C03F2C"/>
    <w:rsid w:val="00C06689"/>
    <w:rsid w:val="00C069D6"/>
    <w:rsid w:val="00C06D4C"/>
    <w:rsid w:val="00C07458"/>
    <w:rsid w:val="00C07F0E"/>
    <w:rsid w:val="00C1307C"/>
    <w:rsid w:val="00C145CC"/>
    <w:rsid w:val="00C16553"/>
    <w:rsid w:val="00C17E67"/>
    <w:rsid w:val="00C22B57"/>
    <w:rsid w:val="00C22EE0"/>
    <w:rsid w:val="00C2380C"/>
    <w:rsid w:val="00C238C3"/>
    <w:rsid w:val="00C239F0"/>
    <w:rsid w:val="00C2615F"/>
    <w:rsid w:val="00C26FE8"/>
    <w:rsid w:val="00C27C65"/>
    <w:rsid w:val="00C30D9C"/>
    <w:rsid w:val="00C31CE9"/>
    <w:rsid w:val="00C32F37"/>
    <w:rsid w:val="00C33FAC"/>
    <w:rsid w:val="00C346C0"/>
    <w:rsid w:val="00C34A78"/>
    <w:rsid w:val="00C35BA1"/>
    <w:rsid w:val="00C36459"/>
    <w:rsid w:val="00C36E4F"/>
    <w:rsid w:val="00C37EA6"/>
    <w:rsid w:val="00C40527"/>
    <w:rsid w:val="00C43549"/>
    <w:rsid w:val="00C4489F"/>
    <w:rsid w:val="00C45D7C"/>
    <w:rsid w:val="00C5306A"/>
    <w:rsid w:val="00C544CD"/>
    <w:rsid w:val="00C54CAD"/>
    <w:rsid w:val="00C61CCB"/>
    <w:rsid w:val="00C638CD"/>
    <w:rsid w:val="00C642D2"/>
    <w:rsid w:val="00C6521B"/>
    <w:rsid w:val="00C716BA"/>
    <w:rsid w:val="00C73334"/>
    <w:rsid w:val="00C73406"/>
    <w:rsid w:val="00C81369"/>
    <w:rsid w:val="00C820D0"/>
    <w:rsid w:val="00C841B3"/>
    <w:rsid w:val="00C84488"/>
    <w:rsid w:val="00C84F12"/>
    <w:rsid w:val="00C854D1"/>
    <w:rsid w:val="00C86F95"/>
    <w:rsid w:val="00C8739B"/>
    <w:rsid w:val="00C94FF6"/>
    <w:rsid w:val="00C95707"/>
    <w:rsid w:val="00C95B8A"/>
    <w:rsid w:val="00C968F3"/>
    <w:rsid w:val="00CA0ABC"/>
    <w:rsid w:val="00CA6459"/>
    <w:rsid w:val="00CA671D"/>
    <w:rsid w:val="00CA7A2A"/>
    <w:rsid w:val="00CA7F01"/>
    <w:rsid w:val="00CB020A"/>
    <w:rsid w:val="00CB1E99"/>
    <w:rsid w:val="00CB3F5C"/>
    <w:rsid w:val="00CB4816"/>
    <w:rsid w:val="00CB52CB"/>
    <w:rsid w:val="00CB5613"/>
    <w:rsid w:val="00CB60AC"/>
    <w:rsid w:val="00CB7AA3"/>
    <w:rsid w:val="00CC1F3C"/>
    <w:rsid w:val="00CC2E36"/>
    <w:rsid w:val="00CC31FD"/>
    <w:rsid w:val="00CC3D49"/>
    <w:rsid w:val="00CC6458"/>
    <w:rsid w:val="00CC6AB6"/>
    <w:rsid w:val="00CD15ED"/>
    <w:rsid w:val="00CD2279"/>
    <w:rsid w:val="00CD2445"/>
    <w:rsid w:val="00CD2481"/>
    <w:rsid w:val="00CD2FC3"/>
    <w:rsid w:val="00CD357E"/>
    <w:rsid w:val="00CD3665"/>
    <w:rsid w:val="00CD44AA"/>
    <w:rsid w:val="00CD49E6"/>
    <w:rsid w:val="00CD54B1"/>
    <w:rsid w:val="00CD5CB9"/>
    <w:rsid w:val="00CD5EB0"/>
    <w:rsid w:val="00CD61AC"/>
    <w:rsid w:val="00CE0A58"/>
    <w:rsid w:val="00CE26F4"/>
    <w:rsid w:val="00CE28EE"/>
    <w:rsid w:val="00CE3D38"/>
    <w:rsid w:val="00CE6798"/>
    <w:rsid w:val="00CF38E4"/>
    <w:rsid w:val="00CF4B41"/>
    <w:rsid w:val="00CF57C4"/>
    <w:rsid w:val="00CF7064"/>
    <w:rsid w:val="00D01669"/>
    <w:rsid w:val="00D02714"/>
    <w:rsid w:val="00D03518"/>
    <w:rsid w:val="00D03563"/>
    <w:rsid w:val="00D0662D"/>
    <w:rsid w:val="00D06910"/>
    <w:rsid w:val="00D069E6"/>
    <w:rsid w:val="00D06DF1"/>
    <w:rsid w:val="00D077C7"/>
    <w:rsid w:val="00D07CED"/>
    <w:rsid w:val="00D11227"/>
    <w:rsid w:val="00D15E6A"/>
    <w:rsid w:val="00D16269"/>
    <w:rsid w:val="00D165A5"/>
    <w:rsid w:val="00D17947"/>
    <w:rsid w:val="00D20A6C"/>
    <w:rsid w:val="00D229A2"/>
    <w:rsid w:val="00D233A2"/>
    <w:rsid w:val="00D249CE"/>
    <w:rsid w:val="00D253DD"/>
    <w:rsid w:val="00D265D1"/>
    <w:rsid w:val="00D27FF1"/>
    <w:rsid w:val="00D3076A"/>
    <w:rsid w:val="00D328B4"/>
    <w:rsid w:val="00D34470"/>
    <w:rsid w:val="00D346F0"/>
    <w:rsid w:val="00D34F59"/>
    <w:rsid w:val="00D35E71"/>
    <w:rsid w:val="00D361BB"/>
    <w:rsid w:val="00D37979"/>
    <w:rsid w:val="00D37FA8"/>
    <w:rsid w:val="00D40C0C"/>
    <w:rsid w:val="00D41F91"/>
    <w:rsid w:val="00D43C82"/>
    <w:rsid w:val="00D45279"/>
    <w:rsid w:val="00D45D0D"/>
    <w:rsid w:val="00D4764E"/>
    <w:rsid w:val="00D478BF"/>
    <w:rsid w:val="00D47AE3"/>
    <w:rsid w:val="00D47E77"/>
    <w:rsid w:val="00D53253"/>
    <w:rsid w:val="00D54467"/>
    <w:rsid w:val="00D54AD1"/>
    <w:rsid w:val="00D5591E"/>
    <w:rsid w:val="00D55C2D"/>
    <w:rsid w:val="00D560F5"/>
    <w:rsid w:val="00D5658A"/>
    <w:rsid w:val="00D57394"/>
    <w:rsid w:val="00D619D4"/>
    <w:rsid w:val="00D6340F"/>
    <w:rsid w:val="00D64240"/>
    <w:rsid w:val="00D642A4"/>
    <w:rsid w:val="00D6599E"/>
    <w:rsid w:val="00D66D66"/>
    <w:rsid w:val="00D66E13"/>
    <w:rsid w:val="00D70DF3"/>
    <w:rsid w:val="00D7216B"/>
    <w:rsid w:val="00D76A77"/>
    <w:rsid w:val="00D807E4"/>
    <w:rsid w:val="00D838AC"/>
    <w:rsid w:val="00D85396"/>
    <w:rsid w:val="00D85745"/>
    <w:rsid w:val="00D87D82"/>
    <w:rsid w:val="00D901DC"/>
    <w:rsid w:val="00D9182A"/>
    <w:rsid w:val="00D9277A"/>
    <w:rsid w:val="00D931A4"/>
    <w:rsid w:val="00D93687"/>
    <w:rsid w:val="00D9552F"/>
    <w:rsid w:val="00D96261"/>
    <w:rsid w:val="00D97473"/>
    <w:rsid w:val="00D978FA"/>
    <w:rsid w:val="00DA0760"/>
    <w:rsid w:val="00DA0FD2"/>
    <w:rsid w:val="00DA11C2"/>
    <w:rsid w:val="00DA1698"/>
    <w:rsid w:val="00DA1933"/>
    <w:rsid w:val="00DA20D1"/>
    <w:rsid w:val="00DA4ED1"/>
    <w:rsid w:val="00DA508D"/>
    <w:rsid w:val="00DA537E"/>
    <w:rsid w:val="00DA573A"/>
    <w:rsid w:val="00DA605D"/>
    <w:rsid w:val="00DA6776"/>
    <w:rsid w:val="00DA6A90"/>
    <w:rsid w:val="00DA6CC0"/>
    <w:rsid w:val="00DB06BE"/>
    <w:rsid w:val="00DB25D9"/>
    <w:rsid w:val="00DB2CF2"/>
    <w:rsid w:val="00DB2FB8"/>
    <w:rsid w:val="00DB329D"/>
    <w:rsid w:val="00DB4EAD"/>
    <w:rsid w:val="00DB75E1"/>
    <w:rsid w:val="00DB7668"/>
    <w:rsid w:val="00DB7926"/>
    <w:rsid w:val="00DC0274"/>
    <w:rsid w:val="00DC0352"/>
    <w:rsid w:val="00DC1250"/>
    <w:rsid w:val="00DC21A5"/>
    <w:rsid w:val="00DC2C52"/>
    <w:rsid w:val="00DC6756"/>
    <w:rsid w:val="00DC6C03"/>
    <w:rsid w:val="00DC7615"/>
    <w:rsid w:val="00DC78C1"/>
    <w:rsid w:val="00DD0A5C"/>
    <w:rsid w:val="00DD0E9A"/>
    <w:rsid w:val="00DD1004"/>
    <w:rsid w:val="00DD2574"/>
    <w:rsid w:val="00DD40F7"/>
    <w:rsid w:val="00DD6489"/>
    <w:rsid w:val="00DE1879"/>
    <w:rsid w:val="00DE2D71"/>
    <w:rsid w:val="00DE4AA7"/>
    <w:rsid w:val="00DE551D"/>
    <w:rsid w:val="00DF04D9"/>
    <w:rsid w:val="00DF0F8D"/>
    <w:rsid w:val="00DF1598"/>
    <w:rsid w:val="00DF2541"/>
    <w:rsid w:val="00DF28BE"/>
    <w:rsid w:val="00DF3AFB"/>
    <w:rsid w:val="00DF418D"/>
    <w:rsid w:val="00DF7C92"/>
    <w:rsid w:val="00E02EA5"/>
    <w:rsid w:val="00E04697"/>
    <w:rsid w:val="00E07F86"/>
    <w:rsid w:val="00E101C7"/>
    <w:rsid w:val="00E10ADD"/>
    <w:rsid w:val="00E1204D"/>
    <w:rsid w:val="00E126A7"/>
    <w:rsid w:val="00E1278B"/>
    <w:rsid w:val="00E1297A"/>
    <w:rsid w:val="00E14959"/>
    <w:rsid w:val="00E156F7"/>
    <w:rsid w:val="00E15D14"/>
    <w:rsid w:val="00E15E3B"/>
    <w:rsid w:val="00E20529"/>
    <w:rsid w:val="00E209ED"/>
    <w:rsid w:val="00E20B8B"/>
    <w:rsid w:val="00E22E11"/>
    <w:rsid w:val="00E26615"/>
    <w:rsid w:val="00E2667D"/>
    <w:rsid w:val="00E27117"/>
    <w:rsid w:val="00E30717"/>
    <w:rsid w:val="00E33CA9"/>
    <w:rsid w:val="00E34D63"/>
    <w:rsid w:val="00E3514A"/>
    <w:rsid w:val="00E37368"/>
    <w:rsid w:val="00E44C6B"/>
    <w:rsid w:val="00E466B1"/>
    <w:rsid w:val="00E4782F"/>
    <w:rsid w:val="00E47DF9"/>
    <w:rsid w:val="00E50944"/>
    <w:rsid w:val="00E51C41"/>
    <w:rsid w:val="00E53DDB"/>
    <w:rsid w:val="00E565CB"/>
    <w:rsid w:val="00E6343B"/>
    <w:rsid w:val="00E6459C"/>
    <w:rsid w:val="00E649F6"/>
    <w:rsid w:val="00E64D63"/>
    <w:rsid w:val="00E65032"/>
    <w:rsid w:val="00E65347"/>
    <w:rsid w:val="00E67241"/>
    <w:rsid w:val="00E67F89"/>
    <w:rsid w:val="00E71584"/>
    <w:rsid w:val="00E71602"/>
    <w:rsid w:val="00E71744"/>
    <w:rsid w:val="00E7267B"/>
    <w:rsid w:val="00E73ADB"/>
    <w:rsid w:val="00E76944"/>
    <w:rsid w:val="00E82EAF"/>
    <w:rsid w:val="00E82FF2"/>
    <w:rsid w:val="00E85A3F"/>
    <w:rsid w:val="00E90530"/>
    <w:rsid w:val="00E91517"/>
    <w:rsid w:val="00E924A8"/>
    <w:rsid w:val="00E93016"/>
    <w:rsid w:val="00E96479"/>
    <w:rsid w:val="00E96AA2"/>
    <w:rsid w:val="00E97A7E"/>
    <w:rsid w:val="00EA0497"/>
    <w:rsid w:val="00EA07A4"/>
    <w:rsid w:val="00EA3378"/>
    <w:rsid w:val="00EA5B32"/>
    <w:rsid w:val="00EA6A36"/>
    <w:rsid w:val="00EB0130"/>
    <w:rsid w:val="00EB065F"/>
    <w:rsid w:val="00EB1644"/>
    <w:rsid w:val="00EB2219"/>
    <w:rsid w:val="00EB2A41"/>
    <w:rsid w:val="00EB2EC3"/>
    <w:rsid w:val="00EB33A0"/>
    <w:rsid w:val="00EB38F0"/>
    <w:rsid w:val="00EB43FC"/>
    <w:rsid w:val="00EB5971"/>
    <w:rsid w:val="00EB5AD0"/>
    <w:rsid w:val="00EB5FD2"/>
    <w:rsid w:val="00EB6021"/>
    <w:rsid w:val="00EB7619"/>
    <w:rsid w:val="00EC0162"/>
    <w:rsid w:val="00EC1678"/>
    <w:rsid w:val="00EC217B"/>
    <w:rsid w:val="00EC3A64"/>
    <w:rsid w:val="00EC3CBD"/>
    <w:rsid w:val="00EC4492"/>
    <w:rsid w:val="00EC5B7F"/>
    <w:rsid w:val="00EC5B8B"/>
    <w:rsid w:val="00EC684B"/>
    <w:rsid w:val="00EC68C3"/>
    <w:rsid w:val="00EC7359"/>
    <w:rsid w:val="00EC7361"/>
    <w:rsid w:val="00ED0048"/>
    <w:rsid w:val="00ED05D0"/>
    <w:rsid w:val="00ED4773"/>
    <w:rsid w:val="00ED50FC"/>
    <w:rsid w:val="00ED567C"/>
    <w:rsid w:val="00ED56BF"/>
    <w:rsid w:val="00ED5A7E"/>
    <w:rsid w:val="00ED7E4E"/>
    <w:rsid w:val="00EE02BD"/>
    <w:rsid w:val="00EE17B2"/>
    <w:rsid w:val="00EE25E6"/>
    <w:rsid w:val="00EE4AC1"/>
    <w:rsid w:val="00EE58AB"/>
    <w:rsid w:val="00EF15AF"/>
    <w:rsid w:val="00EF4DF9"/>
    <w:rsid w:val="00EF5073"/>
    <w:rsid w:val="00EF65A6"/>
    <w:rsid w:val="00EF69AE"/>
    <w:rsid w:val="00EF79A1"/>
    <w:rsid w:val="00F0132E"/>
    <w:rsid w:val="00F03BA8"/>
    <w:rsid w:val="00F03C6E"/>
    <w:rsid w:val="00F06023"/>
    <w:rsid w:val="00F077AF"/>
    <w:rsid w:val="00F11514"/>
    <w:rsid w:val="00F11B59"/>
    <w:rsid w:val="00F123E5"/>
    <w:rsid w:val="00F13F6C"/>
    <w:rsid w:val="00F14EC8"/>
    <w:rsid w:val="00F16806"/>
    <w:rsid w:val="00F179C7"/>
    <w:rsid w:val="00F206C6"/>
    <w:rsid w:val="00F229D9"/>
    <w:rsid w:val="00F23B0F"/>
    <w:rsid w:val="00F24245"/>
    <w:rsid w:val="00F243C3"/>
    <w:rsid w:val="00F24672"/>
    <w:rsid w:val="00F27B2E"/>
    <w:rsid w:val="00F30363"/>
    <w:rsid w:val="00F303BC"/>
    <w:rsid w:val="00F309BC"/>
    <w:rsid w:val="00F31285"/>
    <w:rsid w:val="00F31C76"/>
    <w:rsid w:val="00F32328"/>
    <w:rsid w:val="00F33AFD"/>
    <w:rsid w:val="00F35C78"/>
    <w:rsid w:val="00F41F39"/>
    <w:rsid w:val="00F42901"/>
    <w:rsid w:val="00F435DE"/>
    <w:rsid w:val="00F45567"/>
    <w:rsid w:val="00F45B84"/>
    <w:rsid w:val="00F45FEC"/>
    <w:rsid w:val="00F4763F"/>
    <w:rsid w:val="00F4791A"/>
    <w:rsid w:val="00F47BCE"/>
    <w:rsid w:val="00F509D0"/>
    <w:rsid w:val="00F527B1"/>
    <w:rsid w:val="00F527E7"/>
    <w:rsid w:val="00F54686"/>
    <w:rsid w:val="00F56551"/>
    <w:rsid w:val="00F57B71"/>
    <w:rsid w:val="00F630C7"/>
    <w:rsid w:val="00F6396A"/>
    <w:rsid w:val="00F642FA"/>
    <w:rsid w:val="00F669EC"/>
    <w:rsid w:val="00F70759"/>
    <w:rsid w:val="00F70806"/>
    <w:rsid w:val="00F708A1"/>
    <w:rsid w:val="00F7173F"/>
    <w:rsid w:val="00F71B41"/>
    <w:rsid w:val="00F739BF"/>
    <w:rsid w:val="00F740C3"/>
    <w:rsid w:val="00F80548"/>
    <w:rsid w:val="00F81670"/>
    <w:rsid w:val="00F82CE5"/>
    <w:rsid w:val="00F82DD6"/>
    <w:rsid w:val="00F8344A"/>
    <w:rsid w:val="00F8421C"/>
    <w:rsid w:val="00F8452B"/>
    <w:rsid w:val="00F87FED"/>
    <w:rsid w:val="00F90404"/>
    <w:rsid w:val="00F90C6B"/>
    <w:rsid w:val="00F94123"/>
    <w:rsid w:val="00F95F58"/>
    <w:rsid w:val="00FA07D7"/>
    <w:rsid w:val="00FA4063"/>
    <w:rsid w:val="00FA655A"/>
    <w:rsid w:val="00FA7BA3"/>
    <w:rsid w:val="00FB0B3A"/>
    <w:rsid w:val="00FB1105"/>
    <w:rsid w:val="00FB312E"/>
    <w:rsid w:val="00FB3A5F"/>
    <w:rsid w:val="00FB5762"/>
    <w:rsid w:val="00FC1162"/>
    <w:rsid w:val="00FC1ACF"/>
    <w:rsid w:val="00FC2BEA"/>
    <w:rsid w:val="00FC2FC4"/>
    <w:rsid w:val="00FC3E76"/>
    <w:rsid w:val="00FC528F"/>
    <w:rsid w:val="00FC53A5"/>
    <w:rsid w:val="00FD1A01"/>
    <w:rsid w:val="00FD23BF"/>
    <w:rsid w:val="00FD23CB"/>
    <w:rsid w:val="00FD2859"/>
    <w:rsid w:val="00FD7429"/>
    <w:rsid w:val="00FE0672"/>
    <w:rsid w:val="00FE27E3"/>
    <w:rsid w:val="00FE4DD3"/>
    <w:rsid w:val="00FE4E6F"/>
    <w:rsid w:val="00FE56B9"/>
    <w:rsid w:val="00FE5A5E"/>
    <w:rsid w:val="00FE6412"/>
    <w:rsid w:val="00FE6DE1"/>
    <w:rsid w:val="00FF0870"/>
    <w:rsid w:val="00FF09BC"/>
    <w:rsid w:val="00FF0D63"/>
    <w:rsid w:val="00FF1AD4"/>
    <w:rsid w:val="00FF1FEF"/>
    <w:rsid w:val="00FF208B"/>
    <w:rsid w:val="00FF2342"/>
    <w:rsid w:val="00FF49D2"/>
    <w:rsid w:val="00FF676E"/>
    <w:rsid w:val="00FF6CA0"/>
    <w:rsid w:val="00FF76BC"/>
    <w:rsid w:val="00FF7FAA"/>
    <w:rsid w:val="034115F6"/>
    <w:rsid w:val="04D36E72"/>
    <w:rsid w:val="0CDA1E2D"/>
    <w:rsid w:val="17987097"/>
    <w:rsid w:val="23EF0F01"/>
    <w:rsid w:val="268326CA"/>
    <w:rsid w:val="4509050E"/>
    <w:rsid w:val="5ED625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iPriority="3"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1"/>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2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3"/>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7"/>
    <w:next w:val="7"/>
    <w:link w:val="33"/>
    <w:unhideWhenUsed/>
    <w:qFormat/>
    <w:uiPriority w:val="9"/>
    <w:pPr>
      <w:keepNext/>
      <w:keepLines/>
      <w:spacing w:before="120" w:after="60"/>
      <w:ind w:left="992" w:firstLine="0" w:firstLineChars="0"/>
      <w:outlineLvl w:val="4"/>
    </w:pPr>
    <w:rPr>
      <w:b/>
      <w:bCs/>
      <w:szCs w:val="28"/>
      <w:lang w:val="zh-CN"/>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7">
    <w:name w:val="闻政正文"/>
    <w:basedOn w:val="1"/>
    <w:link w:val="27"/>
    <w:qFormat/>
    <w:uiPriority w:val="0"/>
    <w:pPr>
      <w:spacing w:line="500" w:lineRule="exact"/>
      <w:ind w:firstLine="560" w:firstLineChars="200"/>
    </w:pPr>
    <w:rPr>
      <w:rFonts w:ascii="Times New Roman" w:hAnsi="Times New Roman" w:eastAsia="仿宋_GB2312" w:cs="Times New Roman"/>
      <w:kern w:val="0"/>
      <w:sz w:val="28"/>
      <w:szCs w:val="20"/>
    </w:rPr>
  </w:style>
  <w:style w:type="paragraph" w:styleId="8">
    <w:name w:val="toc 3"/>
    <w:basedOn w:val="1"/>
    <w:next w:val="1"/>
    <w:unhideWhenUsed/>
    <w:qFormat/>
    <w:uiPriority w:val="39"/>
    <w:pPr>
      <w:tabs>
        <w:tab w:val="right" w:leader="dot" w:pos="8296"/>
      </w:tabs>
      <w:spacing w:line="360" w:lineRule="auto"/>
      <w:ind w:left="840" w:leftChars="400"/>
    </w:pPr>
  </w:style>
  <w:style w:type="paragraph" w:styleId="9">
    <w:name w:val="Balloon Text"/>
    <w:basedOn w:val="1"/>
    <w:link w:val="26"/>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tabs>
        <w:tab w:val="right" w:leader="dot" w:pos="8296"/>
      </w:tabs>
      <w:ind w:left="420" w:leftChars="200"/>
      <w:jc w:val="center"/>
    </w:p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Strong"/>
    <w:basedOn w:val="16"/>
    <w:qFormat/>
    <w:uiPriority w:val="22"/>
    <w:rPr>
      <w:b/>
      <w:bCs/>
    </w:rPr>
  </w:style>
  <w:style w:type="character" w:styleId="18">
    <w:name w:val="Hyperlink"/>
    <w:basedOn w:val="16"/>
    <w:unhideWhenUsed/>
    <w:qFormat/>
    <w:uiPriority w:val="99"/>
    <w:rPr>
      <w:color w:val="0000FF"/>
      <w:u w:val="single"/>
    </w:rPr>
  </w:style>
  <w:style w:type="character" w:customStyle="1" w:styleId="19">
    <w:name w:val="页眉 Char"/>
    <w:basedOn w:val="16"/>
    <w:link w:val="11"/>
    <w:qFormat/>
    <w:uiPriority w:val="99"/>
    <w:rPr>
      <w:sz w:val="18"/>
      <w:szCs w:val="18"/>
    </w:rPr>
  </w:style>
  <w:style w:type="character" w:customStyle="1" w:styleId="20">
    <w:name w:val="页脚 Char"/>
    <w:basedOn w:val="16"/>
    <w:link w:val="10"/>
    <w:qFormat/>
    <w:uiPriority w:val="99"/>
    <w:rPr>
      <w:sz w:val="18"/>
      <w:szCs w:val="18"/>
    </w:rPr>
  </w:style>
  <w:style w:type="character" w:customStyle="1" w:styleId="21">
    <w:name w:val="无 A"/>
    <w:qFormat/>
    <w:uiPriority w:val="0"/>
  </w:style>
  <w:style w:type="character" w:customStyle="1" w:styleId="22">
    <w:name w:val="无"/>
    <w:qFormat/>
    <w:uiPriority w:val="0"/>
  </w:style>
  <w:style w:type="character" w:customStyle="1" w:styleId="23">
    <w:name w:val="Hyperlink.0"/>
    <w:basedOn w:val="22"/>
    <w:qFormat/>
    <w:uiPriority w:val="0"/>
    <w:rPr>
      <w:rFonts w:ascii="Calibri Light" w:hAnsi="Calibri Light" w:eastAsia="Calibri Light" w:cs="Calibri Light"/>
      <w:color w:val="000000"/>
      <w:sz w:val="32"/>
      <w:szCs w:val="32"/>
      <w:u w:val="none" w:color="000000"/>
      <w:lang w:val="en-US"/>
    </w:rPr>
  </w:style>
  <w:style w:type="paragraph" w:customStyle="1" w:styleId="24">
    <w:name w:val="WPSOffice手动目录 2"/>
    <w:qFormat/>
    <w:uiPriority w:val="0"/>
    <w:pPr>
      <w:widowControl w:val="0"/>
      <w:spacing w:line="360" w:lineRule="auto"/>
      <w:ind w:left="200"/>
      <w:jc w:val="both"/>
    </w:pPr>
    <w:rPr>
      <w:rFonts w:ascii="Times New Roman" w:hAnsi="Times New Roman" w:cs="Arial Unicode MS" w:eastAsiaTheme="minorEastAsia"/>
      <w:color w:val="000000"/>
      <w:u w:color="000000"/>
      <w:lang w:val="en-US" w:eastAsia="zh-CN" w:bidi="ar-SA"/>
    </w:rPr>
  </w:style>
  <w:style w:type="character" w:customStyle="1" w:styleId="25">
    <w:name w:val="标题 2 Char"/>
    <w:basedOn w:val="16"/>
    <w:link w:val="3"/>
    <w:qFormat/>
    <w:uiPriority w:val="0"/>
    <w:rPr>
      <w:rFonts w:ascii="Arial" w:hAnsi="Arial" w:eastAsia="黑体" w:cs="Times New Roman"/>
      <w:b/>
      <w:bCs/>
      <w:sz w:val="32"/>
      <w:szCs w:val="32"/>
    </w:rPr>
  </w:style>
  <w:style w:type="character" w:customStyle="1" w:styleId="26">
    <w:name w:val="批注框文本 Char"/>
    <w:basedOn w:val="16"/>
    <w:link w:val="9"/>
    <w:semiHidden/>
    <w:qFormat/>
    <w:uiPriority w:val="99"/>
    <w:rPr>
      <w:sz w:val="18"/>
      <w:szCs w:val="18"/>
    </w:rPr>
  </w:style>
  <w:style w:type="character" w:customStyle="1" w:styleId="27">
    <w:name w:val="闻政正文 Char"/>
    <w:link w:val="7"/>
    <w:qFormat/>
    <w:locked/>
    <w:uiPriority w:val="0"/>
    <w:rPr>
      <w:rFonts w:ascii="Times New Roman" w:hAnsi="Times New Roman" w:eastAsia="仿宋_GB2312" w:cs="Times New Roman"/>
      <w:kern w:val="0"/>
      <w:sz w:val="28"/>
      <w:szCs w:val="20"/>
    </w:rPr>
  </w:style>
  <w:style w:type="character" w:customStyle="1" w:styleId="28">
    <w:name w:val="标题 1 Char"/>
    <w:basedOn w:val="16"/>
    <w:link w:val="2"/>
    <w:qFormat/>
    <w:uiPriority w:val="9"/>
    <w:rPr>
      <w:b/>
      <w:bCs/>
      <w:kern w:val="44"/>
      <w:sz w:val="44"/>
      <w:szCs w:val="44"/>
    </w:rPr>
  </w:style>
  <w:style w:type="character" w:customStyle="1" w:styleId="29">
    <w:name w:val="标题 3 Char"/>
    <w:basedOn w:val="16"/>
    <w:link w:val="4"/>
    <w:qFormat/>
    <w:uiPriority w:val="9"/>
    <w:rPr>
      <w:b/>
      <w:bCs/>
      <w:sz w:val="32"/>
      <w:szCs w:val="32"/>
    </w:rPr>
  </w:style>
  <w:style w:type="character" w:customStyle="1" w:styleId="30">
    <w:name w:val="标题 4 Char"/>
    <w:basedOn w:val="16"/>
    <w:link w:val="5"/>
    <w:qFormat/>
    <w:uiPriority w:val="9"/>
    <w:rPr>
      <w:rFonts w:asciiTheme="majorHAnsi" w:hAnsiTheme="majorHAnsi" w:eastAsiaTheme="majorEastAsia" w:cstheme="majorBidi"/>
      <w:b/>
      <w:bCs/>
      <w:sz w:val="28"/>
      <w:szCs w:val="28"/>
    </w:rPr>
  </w:style>
  <w:style w:type="paragraph" w:customStyle="1" w:styleId="31">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styleId="3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3">
    <w:name w:val="标题 5 Char"/>
    <w:basedOn w:val="16"/>
    <w:link w:val="6"/>
    <w:qFormat/>
    <w:uiPriority w:val="9"/>
    <w:rPr>
      <w:rFonts w:ascii="Times New Roman" w:hAnsi="Times New Roman" w:eastAsia="仿宋_GB2312" w:cs="Times New Roman"/>
      <w:b/>
      <w:bCs/>
      <w:sz w:val="28"/>
      <w:szCs w:val="28"/>
      <w:lang w:val="zh-CN"/>
    </w:rPr>
  </w:style>
  <w:style w:type="paragraph" w:customStyle="1" w:styleId="34">
    <w:name w:val="闻政附件标题"/>
    <w:basedOn w:val="7"/>
    <w:qFormat/>
    <w:uiPriority w:val="5"/>
    <w:pPr>
      <w:spacing w:before="120" w:after="60" w:line="240" w:lineRule="auto"/>
      <w:ind w:firstLine="0" w:firstLineChars="0"/>
      <w:outlineLvl w:val="0"/>
    </w:pPr>
    <w:rPr>
      <w:rFonts w:eastAsia="黑体"/>
      <w:b/>
      <w:sz w:val="32"/>
      <w:szCs w:val="28"/>
      <w:lang w:val="zh-CN"/>
    </w:rPr>
  </w:style>
  <w:style w:type="paragraph" w:styleId="3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75D90C-4E2F-4E1F-9E82-183F8D3B0D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2350</Words>
  <Characters>13398</Characters>
  <Lines>111</Lines>
  <Paragraphs>31</Paragraphs>
  <TotalTime>1</TotalTime>
  <ScaleCrop>false</ScaleCrop>
  <LinksUpToDate>false</LinksUpToDate>
  <CharactersWithSpaces>15717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2019-08-13T07:09:00Z</dcterms:created>
  <dc:creator>PC</dc:creator>
  <cp:lastModifiedBy>darkblood</cp:lastModifiedBy>
  <cp:lastPrinted>2020-01-07T03:26:00Z</cp:lastPrinted>
  <dcterms:modified xsi:type="dcterms:W3CDTF">2021-04-30T04:57:55Z</dcterms:modified>
  <cp:revision>1912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519838668_embed</vt:lpwstr>
  </property>
  <property fmtid="{D5CDD505-2E9C-101B-9397-08002B2CF9AE}" pid="4" name="ICV">
    <vt:lpwstr>3FCB2524372840BC98F699B16E79279F</vt:lpwstr>
  </property>
</Properties>
</file>