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40" w:lineRule="auto"/>
        <w:jc w:val="right"/>
        <w:textAlignment w:val="auto"/>
        <w:rPr>
          <w:rFonts w:hint="eastAsia" w:eastAsia="方正小标宋_GBK"/>
          <w:bCs/>
          <w:sz w:val="44"/>
          <w:szCs w:val="44"/>
        </w:rPr>
      </w:pPr>
      <w:r>
        <w:rPr>
          <w:rFonts w:ascii="宋体" w:hAnsi="宋体" w:eastAsia="宋体" w:cs="宋体"/>
          <w:kern w:val="0"/>
          <w:sz w:val="24"/>
          <w:szCs w:val="24"/>
          <w:lang w:val="en-US" w:eastAsia="zh-CN" w:bidi="ar"/>
        </w:rPr>
        <w:drawing>
          <wp:inline distT="0" distB="0" distL="114300" distR="114300">
            <wp:extent cx="1554480" cy="1654175"/>
            <wp:effectExtent l="0" t="0" r="7620" b="31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1554480" cy="1654175"/>
                    </a:xfrm>
                    <a:prstGeom prst="rect">
                      <a:avLst/>
                    </a:prstGeom>
                    <a:noFill/>
                    <a:ln w="9525">
                      <a:noFill/>
                    </a:ln>
                  </pic:spPr>
                </pic:pic>
              </a:graphicData>
            </a:graphic>
          </wp:inline>
        </w:drawing>
      </w:r>
    </w:p>
    <w:p>
      <w:pPr>
        <w:spacing w:line="600" w:lineRule="exact"/>
        <w:jc w:val="center"/>
        <w:rPr>
          <w:rFonts w:hint="eastAsia" w:eastAsia="方正小标宋_GBK"/>
          <w:bCs/>
          <w:sz w:val="44"/>
          <w:szCs w:val="44"/>
        </w:rPr>
      </w:pPr>
    </w:p>
    <w:p>
      <w:pPr>
        <w:autoSpaceDE/>
        <w:autoSpaceDN/>
        <w:spacing w:line="660" w:lineRule="exact"/>
        <w:jc w:val="center"/>
        <w:rPr>
          <w:rFonts w:hint="eastAsia" w:eastAsia="方正小标宋_GBK" w:asciiTheme="minorHAnsi" w:hAnsiTheme="minorHAnsi" w:cstheme="minorBidi"/>
          <w:b w:val="0"/>
          <w:bCs/>
          <w:kern w:val="2"/>
          <w:sz w:val="44"/>
          <w:szCs w:val="44"/>
        </w:rPr>
      </w:pPr>
      <w:r>
        <w:rPr>
          <w:rFonts w:hint="eastAsia" w:eastAsia="方正小标宋_GBK" w:asciiTheme="minorHAnsi" w:hAnsiTheme="minorHAnsi" w:cstheme="minorBidi"/>
          <w:b w:val="0"/>
          <w:bCs/>
          <w:kern w:val="2"/>
          <w:sz w:val="44"/>
          <w:szCs w:val="44"/>
        </w:rPr>
        <w:t>灌云县2019年度人才引进</w:t>
      </w:r>
    </w:p>
    <w:p>
      <w:pPr>
        <w:autoSpaceDE/>
        <w:autoSpaceDN/>
        <w:spacing w:line="660" w:lineRule="exact"/>
        <w:jc w:val="center"/>
        <w:rPr>
          <w:rFonts w:hint="eastAsia" w:eastAsia="方正小标宋_GBK" w:asciiTheme="minorHAnsi" w:hAnsiTheme="minorHAnsi" w:cstheme="minorBidi"/>
          <w:b w:val="0"/>
          <w:bCs/>
          <w:kern w:val="2"/>
          <w:sz w:val="44"/>
          <w:szCs w:val="44"/>
        </w:rPr>
      </w:pPr>
      <w:r>
        <w:rPr>
          <w:rFonts w:hint="eastAsia" w:eastAsia="方正小标宋_GBK" w:asciiTheme="minorHAnsi" w:hAnsiTheme="minorHAnsi" w:cstheme="minorBidi"/>
          <w:b w:val="0"/>
          <w:bCs/>
          <w:kern w:val="2"/>
          <w:sz w:val="44"/>
          <w:szCs w:val="44"/>
        </w:rPr>
        <w:t>财政专项资金项目绩效评价报告</w:t>
      </w:r>
    </w:p>
    <w:p>
      <w:pPr>
        <w:jc w:val="center"/>
      </w:pPr>
      <w:r>
        <w:rPr>
          <w:rFonts w:hint="eastAsia" w:ascii="仿宋" w:hAnsi="仿宋" w:eastAsia="仿宋" w:cs="宋体"/>
          <w:sz w:val="28"/>
          <w:szCs w:val="28"/>
        </w:rPr>
        <w:t>苏润绩</w:t>
      </w:r>
      <w:r>
        <w:rPr>
          <w:rFonts w:hint="eastAsia" w:ascii="方正仿宋_GBK" w:hAnsi="方正仿宋_GBK" w:eastAsia="方正仿宋_GBK" w:cs="Arial"/>
          <w:color w:val="333333"/>
          <w:sz w:val="32"/>
          <w:szCs w:val="32"/>
        </w:rPr>
        <w:t>〔</w:t>
      </w:r>
      <w:r>
        <w:rPr>
          <w:rFonts w:hint="eastAsia" w:ascii="仿宋" w:hAnsi="仿宋" w:eastAsia="仿宋" w:cs="仿宋"/>
          <w:sz w:val="28"/>
          <w:szCs w:val="28"/>
        </w:rPr>
        <w:t>202</w:t>
      </w:r>
      <w:r>
        <w:rPr>
          <w:rFonts w:hint="eastAsia" w:ascii="仿宋" w:hAnsi="仿宋" w:eastAsia="仿宋" w:cs="仿宋"/>
          <w:sz w:val="28"/>
          <w:szCs w:val="28"/>
          <w:lang w:val="en-US" w:eastAsia="zh-CN"/>
        </w:rPr>
        <w:t>1</w:t>
      </w:r>
      <w:r>
        <w:rPr>
          <w:rFonts w:hint="eastAsia" w:ascii="方正仿宋_GBK" w:hAnsi="方正仿宋_GBK" w:eastAsia="方正仿宋_GBK" w:cs="Arial"/>
          <w:color w:val="333333"/>
          <w:sz w:val="32"/>
          <w:szCs w:val="32"/>
        </w:rPr>
        <w:t>〕</w:t>
      </w:r>
      <w:r>
        <w:rPr>
          <w:rFonts w:hint="eastAsia" w:ascii="仿宋" w:hAnsi="仿宋" w:eastAsia="仿宋" w:cs="仿宋"/>
          <w:sz w:val="28"/>
          <w:szCs w:val="28"/>
          <w:lang w:val="en-US" w:eastAsia="zh-CN"/>
        </w:rPr>
        <w:t>J0021</w:t>
      </w:r>
      <w:r>
        <w:rPr>
          <w:rFonts w:hint="eastAsia" w:ascii="仿宋" w:hAnsi="仿宋" w:eastAsia="仿宋" w:cs="宋体"/>
          <w:sz w:val="28"/>
          <w:szCs w:val="28"/>
        </w:rPr>
        <w:t>号</w:t>
      </w:r>
    </w:p>
    <w:p>
      <w:pPr>
        <w:rPr>
          <w:rFonts w:hint="eastAsia" w:ascii="宋体" w:hAnsi="宋体" w:cs="宋体"/>
          <w:sz w:val="48"/>
          <w:szCs w:val="48"/>
        </w:rPr>
      </w:pPr>
    </w:p>
    <w:p>
      <w:pPr>
        <w:rPr>
          <w:rFonts w:hint="eastAsia" w:ascii="宋体" w:hAnsi="宋体" w:cs="宋体"/>
          <w:sz w:val="48"/>
          <w:szCs w:val="48"/>
        </w:rPr>
      </w:pPr>
    </w:p>
    <w:p>
      <w:pPr>
        <w:rPr>
          <w:rFonts w:hint="eastAsia" w:ascii="宋体" w:hAnsi="宋体" w:cs="宋体"/>
          <w:sz w:val="48"/>
          <w:szCs w:val="48"/>
        </w:rPr>
      </w:pPr>
    </w:p>
    <w:p>
      <w:pPr>
        <w:rPr>
          <w:rFonts w:hint="eastAsia" w:ascii="宋体" w:hAnsi="宋体" w:cs="宋体"/>
          <w:sz w:val="48"/>
          <w:szCs w:val="48"/>
        </w:rPr>
      </w:pPr>
    </w:p>
    <w:p>
      <w:pPr>
        <w:rPr>
          <w:rFonts w:hint="eastAsia" w:ascii="宋体" w:hAnsi="宋体" w:cs="宋体"/>
          <w:sz w:val="48"/>
          <w:szCs w:val="48"/>
        </w:rPr>
      </w:pPr>
    </w:p>
    <w:p>
      <w:pPr>
        <w:rPr>
          <w:rFonts w:hint="eastAsia" w:ascii="宋体" w:hAnsi="宋体" w:cs="宋体"/>
          <w:sz w:val="32"/>
          <w:szCs w:val="32"/>
        </w:rPr>
      </w:pPr>
    </w:p>
    <w:p>
      <w:pPr>
        <w:rPr>
          <w:rFonts w:ascii="宋体" w:hAnsi="宋体" w:cs="宋体"/>
          <w:sz w:val="32"/>
          <w:szCs w:val="32"/>
        </w:rPr>
      </w:pPr>
    </w:p>
    <w:p>
      <w:pPr>
        <w:ind w:left="0" w:right="0" w:firstLine="907"/>
      </w:pPr>
      <w:r>
        <w:rPr>
          <w:rFonts w:hint="eastAsia" w:ascii="方正仿宋_GBK" w:hAnsi="方正仿宋_GBK" w:eastAsia="方正仿宋_GBK" w:cs="宋体"/>
          <w:sz w:val="28"/>
          <w:szCs w:val="28"/>
        </w:rPr>
        <w:t>绩效评价机构：江苏润华会计师事务所有限公司</w:t>
      </w:r>
    </w:p>
    <w:p>
      <w:pPr>
        <w:ind w:left="0" w:right="0" w:firstLine="907"/>
      </w:pPr>
      <w:r>
        <w:rPr>
          <w:rFonts w:hint="eastAsia" w:ascii="方正仿宋_GBK" w:hAnsi="方正仿宋_GBK" w:eastAsia="方正仿宋_GBK" w:cs="宋体"/>
          <w:sz w:val="28"/>
          <w:szCs w:val="28"/>
        </w:rPr>
        <w:t>地        址：南京市长江路</w:t>
      </w:r>
      <w:r>
        <w:rPr>
          <w:rFonts w:hint="eastAsia" w:ascii="方正仿宋_GBK" w:hAnsi="方正仿宋_GBK" w:eastAsia="方正仿宋_GBK" w:cs="方正仿宋_GBK"/>
          <w:sz w:val="28"/>
          <w:szCs w:val="28"/>
        </w:rPr>
        <w:t>99</w:t>
      </w:r>
      <w:r>
        <w:rPr>
          <w:rFonts w:hint="eastAsia" w:ascii="方正仿宋_GBK" w:hAnsi="方正仿宋_GBK" w:eastAsia="方正仿宋_GBK" w:cs="宋体"/>
          <w:sz w:val="28"/>
          <w:szCs w:val="28"/>
        </w:rPr>
        <w:t>号长江贸易大楼</w:t>
      </w:r>
      <w:r>
        <w:rPr>
          <w:rFonts w:hint="eastAsia" w:ascii="方正仿宋_GBK" w:hAnsi="方正仿宋_GBK" w:eastAsia="方正仿宋_GBK" w:cs="方正仿宋_GBK"/>
          <w:sz w:val="28"/>
          <w:szCs w:val="28"/>
        </w:rPr>
        <w:t>19</w:t>
      </w:r>
      <w:r>
        <w:rPr>
          <w:rFonts w:hint="eastAsia" w:ascii="方正仿宋_GBK" w:hAnsi="方正仿宋_GBK" w:eastAsia="方正仿宋_GBK" w:cs="宋体"/>
          <w:sz w:val="28"/>
          <w:szCs w:val="28"/>
        </w:rPr>
        <w:t>楼</w:t>
      </w:r>
    </w:p>
    <w:p>
      <w:pPr>
        <w:ind w:left="0" w:right="0" w:firstLine="907"/>
      </w:pPr>
      <w:r>
        <w:rPr>
          <w:rFonts w:hint="eastAsia" w:ascii="方正仿宋_GBK" w:hAnsi="方正仿宋_GBK" w:eastAsia="方正仿宋_GBK" w:cs="宋体"/>
          <w:sz w:val="28"/>
          <w:szCs w:val="28"/>
        </w:rPr>
        <w:t>法 定 代表人：马茂明          邮编：</w:t>
      </w:r>
      <w:r>
        <w:rPr>
          <w:rFonts w:hint="eastAsia" w:ascii="方正仿宋_GBK" w:hAnsi="方正仿宋_GBK" w:eastAsia="方正仿宋_GBK" w:cs="方正仿宋_GBK"/>
          <w:sz w:val="28"/>
          <w:szCs w:val="28"/>
        </w:rPr>
        <w:t>210005</w:t>
      </w:r>
    </w:p>
    <w:p>
      <w:pPr>
        <w:ind w:left="0" w:right="0" w:firstLine="907"/>
      </w:pPr>
      <w:r>
        <w:rPr>
          <w:rFonts w:hint="eastAsia" w:ascii="方正仿宋_GBK" w:hAnsi="方正仿宋_GBK" w:eastAsia="方正仿宋_GBK" w:cs="宋体"/>
          <w:sz w:val="28"/>
          <w:szCs w:val="28"/>
        </w:rPr>
        <w:t>电        话：</w:t>
      </w:r>
      <w:r>
        <w:rPr>
          <w:rFonts w:hint="eastAsia" w:ascii="方正仿宋_GBK" w:hAnsi="方正仿宋_GBK" w:eastAsia="方正仿宋_GBK" w:cs="方正仿宋_GBK"/>
          <w:sz w:val="28"/>
          <w:szCs w:val="28"/>
        </w:rPr>
        <w:t xml:space="preserve">025-84798969    </w:t>
      </w:r>
      <w:r>
        <w:rPr>
          <w:rFonts w:hint="eastAsia" w:ascii="方正仿宋_GBK" w:hAnsi="方正仿宋_GBK" w:eastAsia="方正仿宋_GBK" w:cs="宋体"/>
          <w:sz w:val="28"/>
          <w:szCs w:val="28"/>
        </w:rPr>
        <w:t>传真：</w:t>
      </w:r>
      <w:r>
        <w:rPr>
          <w:rFonts w:hint="eastAsia" w:ascii="方正仿宋_GBK" w:hAnsi="方正仿宋_GBK" w:eastAsia="方正仿宋_GBK" w:cs="方正仿宋_GBK"/>
          <w:sz w:val="28"/>
          <w:szCs w:val="28"/>
        </w:rPr>
        <w:t>025-84798915</w:t>
      </w:r>
    </w:p>
    <w:p>
      <w:pPr>
        <w:ind w:left="0" w:right="0" w:firstLine="907"/>
      </w:pPr>
      <w:r>
        <w:rPr>
          <w:rFonts w:hint="eastAsia" w:ascii="方正仿宋_GBK" w:hAnsi="方正仿宋_GBK" w:eastAsia="方正仿宋_GBK" w:cs="宋体"/>
          <w:sz w:val="28"/>
          <w:szCs w:val="28"/>
        </w:rPr>
        <w:t>网        址：</w:t>
      </w:r>
      <w:r>
        <w:rPr>
          <w:rFonts w:hint="eastAsia" w:ascii="方正仿宋_GBK" w:hAnsi="方正仿宋_GBK" w:eastAsia="方正仿宋_GBK" w:cs="方正仿宋_GBK"/>
          <w:sz w:val="28"/>
          <w:szCs w:val="28"/>
        </w:rPr>
        <w:t>http://www.rhcpa.cn</w:t>
      </w:r>
    </w:p>
    <w:p>
      <w:pPr>
        <w:pStyle w:val="8"/>
        <w:spacing w:line="360" w:lineRule="auto"/>
        <w:rPr>
          <w:rFonts w:asciiTheme="minorEastAsia" w:hAnsiTheme="minorEastAsia"/>
          <w:sz w:val="24"/>
          <w:szCs w:val="24"/>
        </w:rPr>
        <w:sectPr>
          <w:footerReference r:id="rId3" w:type="default"/>
          <w:pgSz w:w="11906" w:h="16838"/>
          <w:pgMar w:top="1644" w:right="1077" w:bottom="1474" w:left="1417" w:header="0" w:footer="992" w:gutter="0"/>
          <w:cols w:space="0" w:num="1"/>
          <w:formProt w:val="0"/>
          <w:rtlGutter w:val="0"/>
          <w:docGrid w:type="lines" w:linePitch="312" w:charSpace="0"/>
        </w:sectPr>
      </w:pPr>
    </w:p>
    <w:p>
      <w:pPr>
        <w:sectPr>
          <w:footerReference r:id="rId4" w:type="default"/>
          <w:pgSz w:w="11906" w:h="16838"/>
          <w:pgMar w:top="1644" w:right="1077" w:bottom="1474" w:left="1417" w:header="0" w:footer="992" w:gutter="0"/>
          <w:pgNumType w:start="1"/>
          <w:cols w:space="0" w:num="1"/>
          <w:formProt w:val="0"/>
          <w:rtlGutter w:val="0"/>
          <w:docGrid w:type="lines" w:linePitch="312" w:charSpace="0"/>
        </w:sectPr>
      </w:pPr>
    </w:p>
    <w:sdt>
      <w:sdtPr>
        <w:rPr>
          <w:rFonts w:hint="eastAsia" w:ascii="方正小标宋简体" w:hAnsi="方正小标宋简体" w:eastAsia="方正小标宋简体" w:cs="方正小标宋简体"/>
          <w:bCs/>
          <w:color w:val="auto"/>
          <w:kern w:val="2"/>
          <w:sz w:val="44"/>
          <w:szCs w:val="44"/>
          <w:lang w:val="en-US" w:eastAsia="zh-CN" w:bidi="ar-SA"/>
        </w:rPr>
        <w:id w:val="147464463"/>
        <w15:color w:val="DBDBDB"/>
        <w:docPartObj>
          <w:docPartGallery w:val="Table of Contents"/>
          <w:docPartUnique/>
        </w:docPartObj>
      </w:sdtPr>
      <w:sdtEndPr>
        <w:rPr>
          <w:rFonts w:hint="eastAsia" w:ascii="方正小标宋简体" w:hAnsi="方正小标宋简体" w:eastAsia="方正小标宋简体" w:cs="方正小标宋简体"/>
          <w:b/>
          <w:bCs/>
          <w:color w:val="auto"/>
          <w:kern w:val="2"/>
          <w:sz w:val="44"/>
          <w:szCs w:val="44"/>
          <w:lang w:val="en-US" w:eastAsia="zh-CN" w:bidi="ar-SA"/>
        </w:rPr>
      </w:sdtEndPr>
      <w:sdtContent>
        <w:p>
          <w:pPr>
            <w:pageBreakBefore/>
            <w:suppressAutoHyphens w:val="0"/>
            <w:spacing w:before="157" w:beforeLines="50" w:after="313" w:afterLines="100" w:line="560" w:lineRule="exact"/>
            <w:ind w:left="0" w:leftChars="0" w:right="0" w:rightChars="0" w:firstLine="0" w:firstLineChars="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目</w:t>
          </w:r>
          <w:r>
            <w:rPr>
              <w:rFonts w:hint="eastAsia" w:ascii="方正小标宋简体" w:hAnsi="方正小标宋简体" w:eastAsia="方正小标宋简体" w:cs="方正小标宋简体"/>
              <w:bCs/>
              <w:color w:val="auto"/>
              <w:sz w:val="44"/>
              <w:szCs w:val="44"/>
              <w:lang w:val="en-US" w:eastAsia="zh-CN"/>
            </w:rPr>
            <w:t xml:space="preserve">  </w:t>
          </w:r>
          <w:r>
            <w:rPr>
              <w:rFonts w:hint="eastAsia" w:ascii="方正小标宋简体" w:hAnsi="方正小标宋简体" w:eastAsia="方正小标宋简体" w:cs="方正小标宋简体"/>
              <w:bCs/>
              <w:color w:val="auto"/>
              <w:sz w:val="44"/>
              <w:szCs w:val="44"/>
            </w:rPr>
            <w:t>录</w:t>
          </w:r>
        </w:p>
        <w:p>
          <w:pPr>
            <w:pStyle w:val="25"/>
            <w:tabs>
              <w:tab w:val="right" w:leader="dot" w:pos="9412"/>
            </w:tabs>
            <w:spacing w:line="520" w:lineRule="exact"/>
            <w:rPr>
              <w:b w:val="0"/>
              <w:bCs/>
              <w:sz w:val="24"/>
              <w:szCs w:val="24"/>
            </w:rPr>
          </w:pPr>
          <w:r>
            <w:fldChar w:fldCharType="begin"/>
          </w:r>
          <w:r>
            <w:instrText xml:space="preserve">TOC \o "1-2" \h \u </w:instrText>
          </w:r>
          <w:r>
            <w:fldChar w:fldCharType="separate"/>
          </w:r>
          <w:r>
            <w:rPr>
              <w:b w:val="0"/>
              <w:bCs/>
              <w:sz w:val="24"/>
              <w:szCs w:val="24"/>
            </w:rPr>
            <w:fldChar w:fldCharType="begin"/>
          </w:r>
          <w:r>
            <w:rPr>
              <w:b w:val="0"/>
              <w:bCs/>
              <w:sz w:val="24"/>
              <w:szCs w:val="24"/>
            </w:rPr>
            <w:instrText xml:space="preserve"> HYPERLINK \l _Toc9970 </w:instrText>
          </w:r>
          <w:r>
            <w:rPr>
              <w:b w:val="0"/>
              <w:bCs/>
              <w:sz w:val="24"/>
              <w:szCs w:val="24"/>
            </w:rPr>
            <w:fldChar w:fldCharType="separate"/>
          </w:r>
          <w:r>
            <w:rPr>
              <w:rFonts w:hint="eastAsia" w:ascii="方正黑体_GBK" w:hAnsi="方正黑体_GBK" w:eastAsia="方正黑体_GBK" w:cs="方正黑体_GBK"/>
              <w:b w:val="0"/>
              <w:bCs/>
              <w:kern w:val="2"/>
              <w:sz w:val="24"/>
              <w:szCs w:val="24"/>
            </w:rPr>
            <w:t>一、项目概况</w:t>
          </w:r>
          <w:r>
            <w:rPr>
              <w:b w:val="0"/>
              <w:bCs/>
              <w:sz w:val="24"/>
              <w:szCs w:val="24"/>
            </w:rPr>
            <w:tab/>
          </w:r>
          <w:r>
            <w:rPr>
              <w:b w:val="0"/>
              <w:bCs/>
              <w:sz w:val="24"/>
              <w:szCs w:val="24"/>
            </w:rPr>
            <w:fldChar w:fldCharType="begin"/>
          </w:r>
          <w:r>
            <w:rPr>
              <w:b w:val="0"/>
              <w:bCs/>
              <w:sz w:val="24"/>
              <w:szCs w:val="24"/>
            </w:rPr>
            <w:instrText xml:space="preserve"> PAGEREF _Toc9970 \h </w:instrText>
          </w:r>
          <w:r>
            <w:rPr>
              <w:b w:val="0"/>
              <w:bCs/>
              <w:sz w:val="24"/>
              <w:szCs w:val="24"/>
            </w:rPr>
            <w:fldChar w:fldCharType="separate"/>
          </w:r>
          <w:r>
            <w:rPr>
              <w:b w:val="0"/>
              <w:bCs/>
              <w:sz w:val="24"/>
              <w:szCs w:val="24"/>
            </w:rPr>
            <w:t>1</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_Toc1977 </w:instrText>
          </w:r>
          <w:r>
            <w:rPr>
              <w:b w:val="0"/>
              <w:bCs/>
              <w:sz w:val="24"/>
              <w:szCs w:val="24"/>
            </w:rPr>
            <w:fldChar w:fldCharType="separate"/>
          </w:r>
          <w:r>
            <w:rPr>
              <w:rFonts w:hint="eastAsia" w:ascii="方正楷体_GBK" w:hAnsi="方正楷体_GBK" w:eastAsia="方正楷体_GBK" w:cs="方正楷体_GBK"/>
              <w:b w:val="0"/>
              <w:bCs/>
              <w:kern w:val="2"/>
              <w:sz w:val="24"/>
              <w:szCs w:val="24"/>
            </w:rPr>
            <w:t>（一）背景</w:t>
          </w:r>
          <w:r>
            <w:rPr>
              <w:b w:val="0"/>
              <w:bCs/>
              <w:sz w:val="24"/>
              <w:szCs w:val="24"/>
            </w:rPr>
            <w:tab/>
          </w:r>
          <w:r>
            <w:rPr>
              <w:b w:val="0"/>
              <w:bCs/>
              <w:sz w:val="24"/>
              <w:szCs w:val="24"/>
            </w:rPr>
            <w:fldChar w:fldCharType="begin"/>
          </w:r>
          <w:r>
            <w:rPr>
              <w:b w:val="0"/>
              <w:bCs/>
              <w:sz w:val="24"/>
              <w:szCs w:val="24"/>
            </w:rPr>
            <w:instrText xml:space="preserve"> PAGEREF _Toc1977 \h </w:instrText>
          </w:r>
          <w:r>
            <w:rPr>
              <w:b w:val="0"/>
              <w:bCs/>
              <w:sz w:val="24"/>
              <w:szCs w:val="24"/>
            </w:rPr>
            <w:fldChar w:fldCharType="separate"/>
          </w:r>
          <w:r>
            <w:rPr>
              <w:b w:val="0"/>
              <w:bCs/>
              <w:sz w:val="24"/>
              <w:szCs w:val="24"/>
            </w:rPr>
            <w:t>1</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_Toc23585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w:t>
          </w:r>
          <w:r>
            <w:rPr>
              <w:rFonts w:hint="eastAsia" w:ascii="方正楷体_GBK" w:hAnsi="方正楷体_GBK" w:eastAsia="方正楷体_GBK" w:cs="方正楷体_GBK"/>
              <w:b w:val="0"/>
              <w:bCs/>
              <w:kern w:val="2"/>
              <w:sz w:val="24"/>
              <w:szCs w:val="24"/>
            </w:rPr>
            <w:t>二）主要政策</w:t>
          </w:r>
          <w:r>
            <w:rPr>
              <w:b w:val="0"/>
              <w:bCs/>
              <w:sz w:val="24"/>
              <w:szCs w:val="24"/>
            </w:rPr>
            <w:tab/>
          </w:r>
          <w:r>
            <w:rPr>
              <w:b w:val="0"/>
              <w:bCs/>
              <w:sz w:val="24"/>
              <w:szCs w:val="24"/>
            </w:rPr>
            <w:fldChar w:fldCharType="begin"/>
          </w:r>
          <w:r>
            <w:rPr>
              <w:b w:val="0"/>
              <w:bCs/>
              <w:sz w:val="24"/>
              <w:szCs w:val="24"/>
            </w:rPr>
            <w:instrText xml:space="preserve"> PAGEREF _Toc23585 \h </w:instrText>
          </w:r>
          <w:r>
            <w:rPr>
              <w:b w:val="0"/>
              <w:bCs/>
              <w:sz w:val="24"/>
              <w:szCs w:val="24"/>
            </w:rPr>
            <w:fldChar w:fldCharType="separate"/>
          </w:r>
          <w:r>
            <w:rPr>
              <w:b w:val="0"/>
              <w:bCs/>
              <w:sz w:val="24"/>
              <w:szCs w:val="24"/>
            </w:rPr>
            <w:t>2</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_Toc32033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（三）资金预算</w:t>
          </w:r>
          <w:r>
            <w:rPr>
              <w:b w:val="0"/>
              <w:bCs/>
              <w:sz w:val="24"/>
              <w:szCs w:val="24"/>
            </w:rPr>
            <w:tab/>
          </w:r>
          <w:r>
            <w:rPr>
              <w:b w:val="0"/>
              <w:bCs/>
              <w:sz w:val="24"/>
              <w:szCs w:val="24"/>
            </w:rPr>
            <w:fldChar w:fldCharType="begin"/>
          </w:r>
          <w:r>
            <w:rPr>
              <w:b w:val="0"/>
              <w:bCs/>
              <w:sz w:val="24"/>
              <w:szCs w:val="24"/>
            </w:rPr>
            <w:instrText xml:space="preserve"> PAGEREF _Toc32033 \h </w:instrText>
          </w:r>
          <w:r>
            <w:rPr>
              <w:b w:val="0"/>
              <w:bCs/>
              <w:sz w:val="24"/>
              <w:szCs w:val="24"/>
            </w:rPr>
            <w:fldChar w:fldCharType="separate"/>
          </w:r>
          <w:r>
            <w:rPr>
              <w:b w:val="0"/>
              <w:bCs/>
              <w:sz w:val="24"/>
              <w:szCs w:val="24"/>
            </w:rPr>
            <w:t>4</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_Toc30765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（四）资金使用情况</w:t>
          </w:r>
          <w:r>
            <w:rPr>
              <w:b w:val="0"/>
              <w:bCs/>
              <w:sz w:val="24"/>
              <w:szCs w:val="24"/>
            </w:rPr>
            <w:tab/>
          </w:r>
          <w:r>
            <w:rPr>
              <w:b w:val="0"/>
              <w:bCs/>
              <w:sz w:val="24"/>
              <w:szCs w:val="24"/>
            </w:rPr>
            <w:fldChar w:fldCharType="begin"/>
          </w:r>
          <w:r>
            <w:rPr>
              <w:b w:val="0"/>
              <w:bCs/>
              <w:sz w:val="24"/>
              <w:szCs w:val="24"/>
            </w:rPr>
            <w:instrText xml:space="preserve"> PAGEREF _Toc30765 \h </w:instrText>
          </w:r>
          <w:r>
            <w:rPr>
              <w:b w:val="0"/>
              <w:bCs/>
              <w:sz w:val="24"/>
              <w:szCs w:val="24"/>
            </w:rPr>
            <w:fldChar w:fldCharType="separate"/>
          </w:r>
          <w:r>
            <w:rPr>
              <w:b w:val="0"/>
              <w:bCs/>
              <w:sz w:val="24"/>
              <w:szCs w:val="24"/>
            </w:rPr>
            <w:t>6</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_Toc723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（五）</w:t>
          </w:r>
          <w:r>
            <w:rPr>
              <w:rFonts w:hint="eastAsia" w:ascii="方正楷体_GBK" w:hAnsi="方正楷体_GBK" w:eastAsia="方正楷体_GBK" w:cs="方正楷体_GBK"/>
              <w:b w:val="0"/>
              <w:bCs/>
              <w:kern w:val="2"/>
              <w:sz w:val="24"/>
              <w:szCs w:val="24"/>
            </w:rPr>
            <w:t>绩效目标</w:t>
          </w:r>
          <w:r>
            <w:rPr>
              <w:b w:val="0"/>
              <w:bCs/>
              <w:sz w:val="24"/>
              <w:szCs w:val="24"/>
            </w:rPr>
            <w:tab/>
          </w:r>
          <w:r>
            <w:rPr>
              <w:b w:val="0"/>
              <w:bCs/>
              <w:sz w:val="24"/>
              <w:szCs w:val="24"/>
            </w:rPr>
            <w:fldChar w:fldCharType="begin"/>
          </w:r>
          <w:r>
            <w:rPr>
              <w:b w:val="0"/>
              <w:bCs/>
              <w:sz w:val="24"/>
              <w:szCs w:val="24"/>
            </w:rPr>
            <w:instrText xml:space="preserve"> PAGEREF _Toc723 \h </w:instrText>
          </w:r>
          <w:r>
            <w:rPr>
              <w:b w:val="0"/>
              <w:bCs/>
              <w:sz w:val="24"/>
              <w:szCs w:val="24"/>
            </w:rPr>
            <w:fldChar w:fldCharType="separate"/>
          </w:r>
          <w:r>
            <w:rPr>
              <w:b w:val="0"/>
              <w:bCs/>
              <w:sz w:val="24"/>
              <w:szCs w:val="24"/>
            </w:rPr>
            <w:t>7</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_Toc21002 </w:instrText>
          </w:r>
          <w:r>
            <w:rPr>
              <w:b w:val="0"/>
              <w:bCs/>
              <w:sz w:val="24"/>
              <w:szCs w:val="24"/>
            </w:rPr>
            <w:fldChar w:fldCharType="separate"/>
          </w:r>
          <w:r>
            <w:rPr>
              <w:rFonts w:hint="eastAsia" w:ascii="方正黑体_GBK" w:hAnsi="方正黑体_GBK" w:eastAsia="方正黑体_GBK" w:cs="方正黑体_GBK"/>
              <w:b w:val="0"/>
              <w:bCs/>
              <w:sz w:val="24"/>
              <w:szCs w:val="24"/>
            </w:rPr>
            <w:t>二、组织实施情况</w:t>
          </w:r>
          <w:r>
            <w:rPr>
              <w:b w:val="0"/>
              <w:bCs/>
              <w:sz w:val="24"/>
              <w:szCs w:val="24"/>
            </w:rPr>
            <w:tab/>
          </w:r>
          <w:r>
            <w:rPr>
              <w:b w:val="0"/>
              <w:bCs/>
              <w:sz w:val="24"/>
              <w:szCs w:val="24"/>
            </w:rPr>
            <w:fldChar w:fldCharType="begin"/>
          </w:r>
          <w:r>
            <w:rPr>
              <w:b w:val="0"/>
              <w:bCs/>
              <w:sz w:val="24"/>
              <w:szCs w:val="24"/>
            </w:rPr>
            <w:instrText xml:space="preserve"> PAGEREF _Toc21002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_Toc9679 </w:instrText>
          </w:r>
          <w:r>
            <w:rPr>
              <w:b w:val="0"/>
              <w:bCs/>
              <w:sz w:val="24"/>
              <w:szCs w:val="24"/>
            </w:rPr>
            <w:fldChar w:fldCharType="separate"/>
          </w:r>
          <w:r>
            <w:rPr>
              <w:rFonts w:hint="eastAsia" w:ascii="方正黑体_GBK" w:hAnsi="方正黑体_GBK" w:eastAsia="方正黑体_GBK" w:cs="方正黑体_GBK"/>
              <w:b w:val="0"/>
              <w:bCs/>
              <w:sz w:val="24"/>
              <w:szCs w:val="24"/>
            </w:rPr>
            <w:t>三、绩效评价工作开展情况</w:t>
          </w:r>
          <w:r>
            <w:rPr>
              <w:b w:val="0"/>
              <w:bCs/>
              <w:sz w:val="24"/>
              <w:szCs w:val="24"/>
            </w:rPr>
            <w:tab/>
          </w:r>
          <w:r>
            <w:rPr>
              <w:b w:val="0"/>
              <w:bCs/>
              <w:sz w:val="24"/>
              <w:szCs w:val="24"/>
            </w:rPr>
            <w:fldChar w:fldCharType="begin"/>
          </w:r>
          <w:r>
            <w:rPr>
              <w:b w:val="0"/>
              <w:bCs/>
              <w:sz w:val="24"/>
              <w:szCs w:val="24"/>
            </w:rPr>
            <w:instrText xml:space="preserve"> PAGEREF _Toc9679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_Toc6425 </w:instrText>
          </w:r>
          <w:r>
            <w:rPr>
              <w:b w:val="0"/>
              <w:bCs/>
              <w:sz w:val="24"/>
              <w:szCs w:val="24"/>
            </w:rPr>
            <w:fldChar w:fldCharType="separate"/>
          </w:r>
          <w:r>
            <w:rPr>
              <w:rFonts w:hint="eastAsia" w:ascii="方正楷体_GBK" w:hAnsi="方正楷体_GBK" w:eastAsia="方正楷体_GBK" w:cs="方正楷体_GBK"/>
              <w:b w:val="0"/>
              <w:bCs/>
              <w:sz w:val="24"/>
              <w:szCs w:val="24"/>
            </w:rPr>
            <w:t>（一）评价目的和范围</w:t>
          </w:r>
          <w:r>
            <w:rPr>
              <w:b w:val="0"/>
              <w:bCs/>
              <w:sz w:val="24"/>
              <w:szCs w:val="24"/>
            </w:rPr>
            <w:tab/>
          </w:r>
          <w:r>
            <w:rPr>
              <w:b w:val="0"/>
              <w:bCs/>
              <w:sz w:val="24"/>
              <w:szCs w:val="24"/>
            </w:rPr>
            <w:fldChar w:fldCharType="begin"/>
          </w:r>
          <w:r>
            <w:rPr>
              <w:b w:val="0"/>
              <w:bCs/>
              <w:sz w:val="24"/>
              <w:szCs w:val="24"/>
            </w:rPr>
            <w:instrText xml:space="preserve"> PAGEREF _Toc6425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_Toc24732 </w:instrText>
          </w:r>
          <w:r>
            <w:rPr>
              <w:b w:val="0"/>
              <w:bCs/>
              <w:sz w:val="24"/>
              <w:szCs w:val="24"/>
            </w:rPr>
            <w:fldChar w:fldCharType="separate"/>
          </w:r>
          <w:r>
            <w:rPr>
              <w:rFonts w:hint="eastAsia" w:ascii="方正楷体_GBK" w:hAnsi="方正楷体_GBK" w:eastAsia="方正楷体_GBK" w:cs="方正楷体_GBK"/>
              <w:b w:val="0"/>
              <w:bCs/>
              <w:sz w:val="24"/>
              <w:szCs w:val="24"/>
            </w:rPr>
            <w:t>（二）绩效评价原则和方法</w:t>
          </w:r>
          <w:r>
            <w:rPr>
              <w:b w:val="0"/>
              <w:bCs/>
              <w:sz w:val="24"/>
              <w:szCs w:val="24"/>
            </w:rPr>
            <w:tab/>
          </w:r>
          <w:r>
            <w:rPr>
              <w:b w:val="0"/>
              <w:bCs/>
              <w:sz w:val="24"/>
              <w:szCs w:val="24"/>
            </w:rPr>
            <w:fldChar w:fldCharType="begin"/>
          </w:r>
          <w:r>
            <w:rPr>
              <w:b w:val="0"/>
              <w:bCs/>
              <w:sz w:val="24"/>
              <w:szCs w:val="24"/>
            </w:rPr>
            <w:instrText xml:space="preserve"> PAGEREF _Toc24732 \h </w:instrText>
          </w:r>
          <w:r>
            <w:rPr>
              <w:b w:val="0"/>
              <w:bCs/>
              <w:sz w:val="24"/>
              <w:szCs w:val="24"/>
            </w:rPr>
            <w:fldChar w:fldCharType="separate"/>
          </w:r>
          <w:r>
            <w:rPr>
              <w:b w:val="0"/>
              <w:bCs/>
              <w:sz w:val="24"/>
              <w:szCs w:val="24"/>
            </w:rPr>
            <w:t>9</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_Toc7770 </w:instrText>
          </w:r>
          <w:r>
            <w:rPr>
              <w:b w:val="0"/>
              <w:bCs/>
              <w:sz w:val="24"/>
              <w:szCs w:val="24"/>
            </w:rPr>
            <w:fldChar w:fldCharType="separate"/>
          </w:r>
          <w:r>
            <w:rPr>
              <w:rFonts w:hint="eastAsia" w:ascii="方正黑体_GBK" w:hAnsi="方正黑体_GBK" w:eastAsia="方正黑体_GBK" w:cs="方正黑体_GBK"/>
              <w:b w:val="0"/>
              <w:bCs/>
              <w:sz w:val="24"/>
              <w:szCs w:val="24"/>
            </w:rPr>
            <w:t>四、绩效评价主要指标分析</w:t>
          </w:r>
          <w:r>
            <w:rPr>
              <w:b w:val="0"/>
              <w:bCs/>
              <w:sz w:val="24"/>
              <w:szCs w:val="24"/>
            </w:rPr>
            <w:tab/>
          </w:r>
          <w:r>
            <w:rPr>
              <w:b w:val="0"/>
              <w:bCs/>
              <w:sz w:val="24"/>
              <w:szCs w:val="24"/>
            </w:rPr>
            <w:fldChar w:fldCharType="begin"/>
          </w:r>
          <w:r>
            <w:rPr>
              <w:b w:val="0"/>
              <w:bCs/>
              <w:sz w:val="24"/>
              <w:szCs w:val="24"/>
            </w:rPr>
            <w:instrText xml:space="preserve"> PAGEREF _Toc7770 \h </w:instrText>
          </w:r>
          <w:r>
            <w:rPr>
              <w:b w:val="0"/>
              <w:bCs/>
              <w:sz w:val="24"/>
              <w:szCs w:val="24"/>
            </w:rPr>
            <w:fldChar w:fldCharType="separate"/>
          </w:r>
          <w:r>
            <w:rPr>
              <w:b w:val="0"/>
              <w:bCs/>
              <w:sz w:val="24"/>
              <w:szCs w:val="24"/>
            </w:rPr>
            <w:t>10</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_Toc32510 </w:instrText>
          </w:r>
          <w:r>
            <w:rPr>
              <w:b w:val="0"/>
              <w:bCs/>
              <w:sz w:val="24"/>
              <w:szCs w:val="24"/>
            </w:rPr>
            <w:fldChar w:fldCharType="separate"/>
          </w:r>
          <w:r>
            <w:rPr>
              <w:rFonts w:hint="eastAsia" w:ascii="方正楷体_GBK" w:hAnsi="方正楷体_GBK" w:eastAsia="方正楷体_GBK" w:cs="方正楷体_GBK"/>
              <w:b w:val="0"/>
              <w:bCs/>
              <w:sz w:val="24"/>
              <w:szCs w:val="24"/>
            </w:rPr>
            <w:t>（一）项目决策</w:t>
          </w:r>
          <w:r>
            <w:rPr>
              <w:b w:val="0"/>
              <w:bCs/>
              <w:sz w:val="24"/>
              <w:szCs w:val="24"/>
            </w:rPr>
            <w:tab/>
          </w:r>
          <w:r>
            <w:rPr>
              <w:b w:val="0"/>
              <w:bCs/>
              <w:sz w:val="24"/>
              <w:szCs w:val="24"/>
            </w:rPr>
            <w:fldChar w:fldCharType="begin"/>
          </w:r>
          <w:r>
            <w:rPr>
              <w:b w:val="0"/>
              <w:bCs/>
              <w:sz w:val="24"/>
              <w:szCs w:val="24"/>
            </w:rPr>
            <w:instrText xml:space="preserve"> PAGEREF _Toc32510 \h </w:instrText>
          </w:r>
          <w:r>
            <w:rPr>
              <w:b w:val="0"/>
              <w:bCs/>
              <w:sz w:val="24"/>
              <w:szCs w:val="24"/>
            </w:rPr>
            <w:fldChar w:fldCharType="separate"/>
          </w:r>
          <w:r>
            <w:rPr>
              <w:b w:val="0"/>
              <w:bCs/>
              <w:sz w:val="24"/>
              <w:szCs w:val="24"/>
            </w:rPr>
            <w:t>10</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_Toc19303 </w:instrText>
          </w:r>
          <w:r>
            <w:rPr>
              <w:b w:val="0"/>
              <w:bCs/>
              <w:sz w:val="24"/>
              <w:szCs w:val="24"/>
            </w:rPr>
            <w:fldChar w:fldCharType="separate"/>
          </w:r>
          <w:r>
            <w:rPr>
              <w:rFonts w:hint="eastAsia" w:ascii="方正楷体_GBK" w:hAnsi="方正楷体_GBK" w:eastAsia="方正楷体_GBK" w:cs="方正楷体_GBK"/>
              <w:b w:val="0"/>
              <w:bCs/>
              <w:sz w:val="24"/>
              <w:szCs w:val="24"/>
            </w:rPr>
            <w:t>（二）项目过程管理</w:t>
          </w:r>
          <w:r>
            <w:rPr>
              <w:b w:val="0"/>
              <w:bCs/>
              <w:sz w:val="24"/>
              <w:szCs w:val="24"/>
            </w:rPr>
            <w:tab/>
          </w:r>
          <w:r>
            <w:rPr>
              <w:b w:val="0"/>
              <w:bCs/>
              <w:sz w:val="24"/>
              <w:szCs w:val="24"/>
            </w:rPr>
            <w:fldChar w:fldCharType="begin"/>
          </w:r>
          <w:r>
            <w:rPr>
              <w:b w:val="0"/>
              <w:bCs/>
              <w:sz w:val="24"/>
              <w:szCs w:val="24"/>
            </w:rPr>
            <w:instrText xml:space="preserve"> PAGEREF _Toc19303 \h </w:instrText>
          </w:r>
          <w:r>
            <w:rPr>
              <w:b w:val="0"/>
              <w:bCs/>
              <w:sz w:val="24"/>
              <w:szCs w:val="24"/>
            </w:rPr>
            <w:fldChar w:fldCharType="separate"/>
          </w:r>
          <w:r>
            <w:rPr>
              <w:b w:val="0"/>
              <w:bCs/>
              <w:sz w:val="24"/>
              <w:szCs w:val="24"/>
            </w:rPr>
            <w:t>11</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_Toc10076 </w:instrText>
          </w:r>
          <w:r>
            <w:rPr>
              <w:b w:val="0"/>
              <w:bCs/>
              <w:sz w:val="24"/>
              <w:szCs w:val="24"/>
            </w:rPr>
            <w:fldChar w:fldCharType="separate"/>
          </w:r>
          <w:r>
            <w:rPr>
              <w:rFonts w:hint="eastAsia" w:ascii="方正楷体_GBK" w:hAnsi="方正楷体_GBK" w:eastAsia="方正楷体_GBK" w:cs="方正楷体_GBK"/>
              <w:b w:val="0"/>
              <w:bCs/>
              <w:sz w:val="24"/>
              <w:szCs w:val="24"/>
            </w:rPr>
            <w:t>（三）项目产出</w:t>
          </w:r>
          <w:r>
            <w:rPr>
              <w:b w:val="0"/>
              <w:bCs/>
              <w:sz w:val="24"/>
              <w:szCs w:val="24"/>
            </w:rPr>
            <w:tab/>
          </w:r>
          <w:r>
            <w:rPr>
              <w:b w:val="0"/>
              <w:bCs/>
              <w:sz w:val="24"/>
              <w:szCs w:val="24"/>
            </w:rPr>
            <w:fldChar w:fldCharType="begin"/>
          </w:r>
          <w:r>
            <w:rPr>
              <w:b w:val="0"/>
              <w:bCs/>
              <w:sz w:val="24"/>
              <w:szCs w:val="24"/>
            </w:rPr>
            <w:instrText xml:space="preserve"> PAGEREF _Toc10076 \h </w:instrText>
          </w:r>
          <w:r>
            <w:rPr>
              <w:b w:val="0"/>
              <w:bCs/>
              <w:sz w:val="24"/>
              <w:szCs w:val="24"/>
            </w:rPr>
            <w:fldChar w:fldCharType="separate"/>
          </w:r>
          <w:r>
            <w:rPr>
              <w:b w:val="0"/>
              <w:bCs/>
              <w:sz w:val="24"/>
              <w:szCs w:val="24"/>
            </w:rPr>
            <w:t>12</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_Toc27484 </w:instrText>
          </w:r>
          <w:r>
            <w:rPr>
              <w:b w:val="0"/>
              <w:bCs/>
              <w:sz w:val="24"/>
              <w:szCs w:val="24"/>
            </w:rPr>
            <w:fldChar w:fldCharType="separate"/>
          </w:r>
          <w:r>
            <w:rPr>
              <w:rFonts w:hint="eastAsia" w:ascii="方正楷体_GBK" w:hAnsi="方正楷体_GBK" w:eastAsia="方正楷体_GBK" w:cs="方正楷体_GBK"/>
              <w:b w:val="0"/>
              <w:bCs/>
              <w:sz w:val="24"/>
              <w:szCs w:val="24"/>
            </w:rPr>
            <w:t>（四）项目效果</w:t>
          </w:r>
          <w:r>
            <w:rPr>
              <w:b w:val="0"/>
              <w:bCs/>
              <w:sz w:val="24"/>
              <w:szCs w:val="24"/>
            </w:rPr>
            <w:tab/>
          </w:r>
          <w:r>
            <w:rPr>
              <w:b w:val="0"/>
              <w:bCs/>
              <w:sz w:val="24"/>
              <w:szCs w:val="24"/>
            </w:rPr>
            <w:fldChar w:fldCharType="begin"/>
          </w:r>
          <w:r>
            <w:rPr>
              <w:b w:val="0"/>
              <w:bCs/>
              <w:sz w:val="24"/>
              <w:szCs w:val="24"/>
            </w:rPr>
            <w:instrText xml:space="preserve"> PAGEREF _Toc27484 \h </w:instrText>
          </w:r>
          <w:r>
            <w:rPr>
              <w:b w:val="0"/>
              <w:bCs/>
              <w:sz w:val="24"/>
              <w:szCs w:val="24"/>
            </w:rPr>
            <w:fldChar w:fldCharType="separate"/>
          </w:r>
          <w:r>
            <w:rPr>
              <w:b w:val="0"/>
              <w:bCs/>
              <w:sz w:val="24"/>
              <w:szCs w:val="24"/>
            </w:rPr>
            <w:t>14</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_Toc1389 </w:instrText>
          </w:r>
          <w:r>
            <w:rPr>
              <w:b w:val="0"/>
              <w:bCs/>
              <w:sz w:val="24"/>
              <w:szCs w:val="24"/>
            </w:rPr>
            <w:fldChar w:fldCharType="separate"/>
          </w:r>
          <w:r>
            <w:rPr>
              <w:rFonts w:hint="eastAsia" w:ascii="方正黑体_GBK" w:hAnsi="方正黑体_GBK" w:eastAsia="方正黑体_GBK" w:cs="方正黑体_GBK"/>
              <w:b w:val="0"/>
              <w:bCs/>
              <w:sz w:val="24"/>
              <w:szCs w:val="24"/>
            </w:rPr>
            <w:t>五、</w:t>
          </w:r>
          <w:r>
            <w:rPr>
              <w:rFonts w:hint="eastAsia" w:ascii="方正黑体_GBK" w:hAnsi="方正黑体_GBK" w:eastAsia="方正黑体_GBK" w:cs="方正黑体_GBK"/>
              <w:b w:val="0"/>
              <w:bCs/>
              <w:kern w:val="2"/>
              <w:sz w:val="24"/>
              <w:szCs w:val="24"/>
            </w:rPr>
            <w:t>评价结论</w:t>
          </w:r>
          <w:r>
            <w:rPr>
              <w:b w:val="0"/>
              <w:bCs/>
              <w:sz w:val="24"/>
              <w:szCs w:val="24"/>
            </w:rPr>
            <w:tab/>
          </w:r>
          <w:r>
            <w:rPr>
              <w:b w:val="0"/>
              <w:bCs/>
              <w:sz w:val="24"/>
              <w:szCs w:val="24"/>
            </w:rPr>
            <w:fldChar w:fldCharType="begin"/>
          </w:r>
          <w:r>
            <w:rPr>
              <w:b w:val="0"/>
              <w:bCs/>
              <w:sz w:val="24"/>
              <w:szCs w:val="24"/>
            </w:rPr>
            <w:instrText xml:space="preserve"> PAGEREF _Toc1389 \h </w:instrText>
          </w:r>
          <w:r>
            <w:rPr>
              <w:b w:val="0"/>
              <w:bCs/>
              <w:sz w:val="24"/>
              <w:szCs w:val="24"/>
            </w:rPr>
            <w:fldChar w:fldCharType="separate"/>
          </w:r>
          <w:r>
            <w:rPr>
              <w:b w:val="0"/>
              <w:bCs/>
              <w:sz w:val="24"/>
              <w:szCs w:val="24"/>
            </w:rPr>
            <w:t>16</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_Toc31735 </w:instrText>
          </w:r>
          <w:r>
            <w:rPr>
              <w:b w:val="0"/>
              <w:bCs/>
              <w:sz w:val="24"/>
              <w:szCs w:val="24"/>
            </w:rPr>
            <w:fldChar w:fldCharType="separate"/>
          </w:r>
          <w:r>
            <w:rPr>
              <w:rFonts w:hint="eastAsia" w:ascii="方正黑体_GBK" w:hAnsi="方正黑体_GBK" w:eastAsia="方正黑体_GBK" w:cs="方正黑体_GBK"/>
              <w:b w:val="0"/>
              <w:bCs/>
              <w:sz w:val="24"/>
              <w:szCs w:val="24"/>
            </w:rPr>
            <w:t>六、主要绩效及经验做法</w:t>
          </w:r>
          <w:r>
            <w:rPr>
              <w:b w:val="0"/>
              <w:bCs/>
              <w:sz w:val="24"/>
              <w:szCs w:val="24"/>
            </w:rPr>
            <w:tab/>
          </w:r>
          <w:r>
            <w:rPr>
              <w:b w:val="0"/>
              <w:bCs/>
              <w:sz w:val="24"/>
              <w:szCs w:val="24"/>
            </w:rPr>
            <w:fldChar w:fldCharType="begin"/>
          </w:r>
          <w:r>
            <w:rPr>
              <w:b w:val="0"/>
              <w:bCs/>
              <w:sz w:val="24"/>
              <w:szCs w:val="24"/>
            </w:rPr>
            <w:instrText xml:space="preserve"> PAGEREF _Toc31735 \h </w:instrText>
          </w:r>
          <w:r>
            <w:rPr>
              <w:b w:val="0"/>
              <w:bCs/>
              <w:sz w:val="24"/>
              <w:szCs w:val="24"/>
            </w:rPr>
            <w:fldChar w:fldCharType="separate"/>
          </w:r>
          <w:r>
            <w:rPr>
              <w:b w:val="0"/>
              <w:bCs/>
              <w:sz w:val="24"/>
              <w:szCs w:val="24"/>
            </w:rPr>
            <w:t>17</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_Toc9555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（一）主要经验和做法</w:t>
          </w:r>
          <w:r>
            <w:rPr>
              <w:b w:val="0"/>
              <w:bCs/>
              <w:sz w:val="24"/>
              <w:szCs w:val="24"/>
            </w:rPr>
            <w:tab/>
          </w:r>
          <w:r>
            <w:rPr>
              <w:b w:val="0"/>
              <w:bCs/>
              <w:sz w:val="24"/>
              <w:szCs w:val="24"/>
            </w:rPr>
            <w:fldChar w:fldCharType="begin"/>
          </w:r>
          <w:r>
            <w:rPr>
              <w:b w:val="0"/>
              <w:bCs/>
              <w:sz w:val="24"/>
              <w:szCs w:val="24"/>
            </w:rPr>
            <w:instrText xml:space="preserve"> PAGEREF _Toc9555 \h </w:instrText>
          </w:r>
          <w:r>
            <w:rPr>
              <w:b w:val="0"/>
              <w:bCs/>
              <w:sz w:val="24"/>
              <w:szCs w:val="24"/>
            </w:rPr>
            <w:fldChar w:fldCharType="separate"/>
          </w:r>
          <w:r>
            <w:rPr>
              <w:b w:val="0"/>
              <w:bCs/>
              <w:sz w:val="24"/>
              <w:szCs w:val="24"/>
            </w:rPr>
            <w:t>17</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_Toc12486 </w:instrText>
          </w:r>
          <w:r>
            <w:rPr>
              <w:b w:val="0"/>
              <w:bCs/>
              <w:sz w:val="24"/>
              <w:szCs w:val="24"/>
            </w:rPr>
            <w:fldChar w:fldCharType="separate"/>
          </w:r>
          <w:r>
            <w:rPr>
              <w:rFonts w:hint="eastAsia" w:ascii="方正楷体_GBK" w:hAnsi="方正楷体_GBK" w:eastAsia="方正楷体_GBK" w:cs="方正楷体_GBK"/>
              <w:b w:val="0"/>
              <w:bCs/>
              <w:sz w:val="24"/>
              <w:szCs w:val="24"/>
              <w:lang w:eastAsia="zh-CN"/>
            </w:rPr>
            <w:t>（</w:t>
          </w:r>
          <w:r>
            <w:rPr>
              <w:rFonts w:hint="eastAsia" w:ascii="方正楷体_GBK" w:hAnsi="方正楷体_GBK" w:eastAsia="方正楷体_GBK" w:cs="方正楷体_GBK"/>
              <w:b w:val="0"/>
              <w:bCs/>
              <w:sz w:val="24"/>
              <w:szCs w:val="24"/>
              <w:lang w:val="en-US" w:eastAsia="zh-CN"/>
            </w:rPr>
            <w:t>二</w:t>
          </w:r>
          <w:r>
            <w:rPr>
              <w:rFonts w:hint="eastAsia" w:ascii="方正楷体_GBK" w:hAnsi="方正楷体_GBK" w:eastAsia="方正楷体_GBK" w:cs="方正楷体_GBK"/>
              <w:b w:val="0"/>
              <w:bCs/>
              <w:sz w:val="24"/>
              <w:szCs w:val="24"/>
              <w:lang w:eastAsia="zh-CN"/>
            </w:rPr>
            <w:t>）</w:t>
          </w:r>
          <w:r>
            <w:rPr>
              <w:rFonts w:hint="eastAsia" w:ascii="方正楷体_GBK" w:hAnsi="方正楷体_GBK" w:eastAsia="方正楷体_GBK" w:cs="方正楷体_GBK"/>
              <w:b w:val="0"/>
              <w:bCs/>
              <w:sz w:val="24"/>
              <w:szCs w:val="24"/>
            </w:rPr>
            <w:t>主要成效</w:t>
          </w:r>
          <w:r>
            <w:rPr>
              <w:b w:val="0"/>
              <w:bCs/>
              <w:sz w:val="24"/>
              <w:szCs w:val="24"/>
            </w:rPr>
            <w:tab/>
          </w:r>
          <w:r>
            <w:rPr>
              <w:b w:val="0"/>
              <w:bCs/>
              <w:sz w:val="24"/>
              <w:szCs w:val="24"/>
            </w:rPr>
            <w:fldChar w:fldCharType="begin"/>
          </w:r>
          <w:r>
            <w:rPr>
              <w:b w:val="0"/>
              <w:bCs/>
              <w:sz w:val="24"/>
              <w:szCs w:val="24"/>
            </w:rPr>
            <w:instrText xml:space="preserve"> PAGEREF _Toc12486 \h </w:instrText>
          </w:r>
          <w:r>
            <w:rPr>
              <w:b w:val="0"/>
              <w:bCs/>
              <w:sz w:val="24"/>
              <w:szCs w:val="24"/>
            </w:rPr>
            <w:fldChar w:fldCharType="separate"/>
          </w:r>
          <w:r>
            <w:rPr>
              <w:b w:val="0"/>
              <w:bCs/>
              <w:sz w:val="24"/>
              <w:szCs w:val="24"/>
            </w:rPr>
            <w:t>17</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_Toc11404 </w:instrText>
          </w:r>
          <w:r>
            <w:rPr>
              <w:b w:val="0"/>
              <w:bCs/>
              <w:sz w:val="24"/>
              <w:szCs w:val="24"/>
            </w:rPr>
            <w:fldChar w:fldCharType="separate"/>
          </w:r>
          <w:r>
            <w:rPr>
              <w:rFonts w:hint="eastAsia" w:ascii="方正黑体_GBK" w:hAnsi="方正黑体_GBK" w:eastAsia="方正黑体_GBK" w:cs="方正黑体_GBK"/>
              <w:b w:val="0"/>
              <w:bCs/>
              <w:kern w:val="2"/>
              <w:sz w:val="24"/>
              <w:szCs w:val="24"/>
            </w:rPr>
            <w:t>七、</w:t>
          </w:r>
          <w:r>
            <w:rPr>
              <w:rFonts w:hint="eastAsia" w:ascii="方正黑体_GBK" w:hAnsi="方正黑体_GBK" w:eastAsia="方正黑体_GBK" w:cs="方正黑体_GBK"/>
              <w:b w:val="0"/>
              <w:bCs/>
              <w:sz w:val="24"/>
              <w:szCs w:val="24"/>
            </w:rPr>
            <w:t>存在的主要问题</w:t>
          </w:r>
          <w:r>
            <w:rPr>
              <w:b w:val="0"/>
              <w:bCs/>
              <w:sz w:val="24"/>
              <w:szCs w:val="24"/>
            </w:rPr>
            <w:tab/>
          </w:r>
          <w:r>
            <w:rPr>
              <w:b w:val="0"/>
              <w:bCs/>
              <w:sz w:val="24"/>
              <w:szCs w:val="24"/>
            </w:rPr>
            <w:fldChar w:fldCharType="begin"/>
          </w:r>
          <w:r>
            <w:rPr>
              <w:b w:val="0"/>
              <w:bCs/>
              <w:sz w:val="24"/>
              <w:szCs w:val="24"/>
            </w:rPr>
            <w:instrText xml:space="preserve"> PAGEREF _Toc11404 \h </w:instrText>
          </w:r>
          <w:r>
            <w:rPr>
              <w:b w:val="0"/>
              <w:bCs/>
              <w:sz w:val="24"/>
              <w:szCs w:val="24"/>
            </w:rPr>
            <w:fldChar w:fldCharType="separate"/>
          </w:r>
          <w:r>
            <w:rPr>
              <w:b w:val="0"/>
              <w:bCs/>
              <w:sz w:val="24"/>
              <w:szCs w:val="24"/>
            </w:rPr>
            <w:t>19</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_Toc202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（一）人才专项资金使用率不高</w:t>
          </w:r>
          <w:r>
            <w:rPr>
              <w:b w:val="0"/>
              <w:bCs/>
              <w:sz w:val="24"/>
              <w:szCs w:val="24"/>
            </w:rPr>
            <w:tab/>
          </w:r>
          <w:r>
            <w:rPr>
              <w:b w:val="0"/>
              <w:bCs/>
              <w:sz w:val="24"/>
              <w:szCs w:val="24"/>
            </w:rPr>
            <w:fldChar w:fldCharType="begin"/>
          </w:r>
          <w:r>
            <w:rPr>
              <w:b w:val="0"/>
              <w:bCs/>
              <w:sz w:val="24"/>
              <w:szCs w:val="24"/>
            </w:rPr>
            <w:instrText xml:space="preserve"> PAGEREF _Toc202 \h </w:instrText>
          </w:r>
          <w:r>
            <w:rPr>
              <w:b w:val="0"/>
              <w:bCs/>
              <w:sz w:val="24"/>
              <w:szCs w:val="24"/>
            </w:rPr>
            <w:fldChar w:fldCharType="separate"/>
          </w:r>
          <w:r>
            <w:rPr>
              <w:b w:val="0"/>
              <w:bCs/>
              <w:sz w:val="24"/>
              <w:szCs w:val="24"/>
            </w:rPr>
            <w:t>19</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_Toc1933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（二）少数项目支出不合规</w:t>
          </w:r>
          <w:r>
            <w:rPr>
              <w:b w:val="0"/>
              <w:bCs/>
              <w:sz w:val="24"/>
              <w:szCs w:val="24"/>
            </w:rPr>
            <w:tab/>
          </w:r>
          <w:r>
            <w:rPr>
              <w:b w:val="0"/>
              <w:bCs/>
              <w:sz w:val="24"/>
              <w:szCs w:val="24"/>
            </w:rPr>
            <w:fldChar w:fldCharType="begin"/>
          </w:r>
          <w:r>
            <w:rPr>
              <w:b w:val="0"/>
              <w:bCs/>
              <w:sz w:val="24"/>
              <w:szCs w:val="24"/>
            </w:rPr>
            <w:instrText xml:space="preserve"> PAGEREF _Toc1933 \h </w:instrText>
          </w:r>
          <w:r>
            <w:rPr>
              <w:b w:val="0"/>
              <w:bCs/>
              <w:sz w:val="24"/>
              <w:szCs w:val="24"/>
            </w:rPr>
            <w:fldChar w:fldCharType="separate"/>
          </w:r>
          <w:r>
            <w:rPr>
              <w:b w:val="0"/>
              <w:bCs/>
              <w:sz w:val="24"/>
              <w:szCs w:val="24"/>
            </w:rPr>
            <w:t>19</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_Toc6715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（三）少数人才项目实施质量有待提高</w:t>
          </w:r>
          <w:r>
            <w:rPr>
              <w:b w:val="0"/>
              <w:bCs/>
              <w:sz w:val="24"/>
              <w:szCs w:val="24"/>
            </w:rPr>
            <w:tab/>
          </w:r>
          <w:r>
            <w:rPr>
              <w:b w:val="0"/>
              <w:bCs/>
              <w:sz w:val="24"/>
              <w:szCs w:val="24"/>
            </w:rPr>
            <w:fldChar w:fldCharType="begin"/>
          </w:r>
          <w:r>
            <w:rPr>
              <w:b w:val="0"/>
              <w:bCs/>
              <w:sz w:val="24"/>
              <w:szCs w:val="24"/>
            </w:rPr>
            <w:instrText xml:space="preserve"> PAGEREF _Toc6715 \h </w:instrText>
          </w:r>
          <w:r>
            <w:rPr>
              <w:b w:val="0"/>
              <w:bCs/>
              <w:sz w:val="24"/>
              <w:szCs w:val="24"/>
            </w:rPr>
            <w:fldChar w:fldCharType="separate"/>
          </w:r>
          <w:r>
            <w:rPr>
              <w:b w:val="0"/>
              <w:bCs/>
              <w:sz w:val="24"/>
              <w:szCs w:val="24"/>
            </w:rPr>
            <w:t>20</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_Toc6396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lang w:eastAsia="zh-CN"/>
            </w:rPr>
            <w:t>（</w:t>
          </w:r>
          <w:r>
            <w:rPr>
              <w:rFonts w:hint="eastAsia" w:ascii="方正楷体_GBK" w:hAnsi="方正楷体_GBK" w:eastAsia="方正楷体_GBK" w:cs="方正楷体_GBK"/>
              <w:b w:val="0"/>
              <w:bCs/>
              <w:kern w:val="2"/>
              <w:sz w:val="24"/>
              <w:szCs w:val="24"/>
              <w:shd w:val="clear"/>
              <w:lang w:val="en-US" w:eastAsia="zh-CN"/>
            </w:rPr>
            <w:t>四</w:t>
          </w:r>
          <w:r>
            <w:rPr>
              <w:rFonts w:hint="eastAsia" w:ascii="方正楷体_GBK" w:hAnsi="方正楷体_GBK" w:eastAsia="方正楷体_GBK" w:cs="方正楷体_GBK"/>
              <w:b w:val="0"/>
              <w:bCs/>
              <w:kern w:val="2"/>
              <w:sz w:val="24"/>
              <w:szCs w:val="24"/>
              <w:shd w:val="clear"/>
              <w:lang w:eastAsia="zh-CN"/>
            </w:rPr>
            <w:t>）</w:t>
          </w:r>
          <w:r>
            <w:rPr>
              <w:rFonts w:hint="eastAsia" w:ascii="方正楷体_GBK" w:hAnsi="方正楷体_GBK" w:eastAsia="方正楷体_GBK" w:cs="方正楷体_GBK"/>
              <w:b w:val="0"/>
              <w:bCs/>
              <w:kern w:val="2"/>
              <w:sz w:val="24"/>
              <w:szCs w:val="24"/>
              <w:shd w:val="clear"/>
            </w:rPr>
            <w:t>引进人才有流失的情况</w:t>
          </w:r>
          <w:r>
            <w:rPr>
              <w:b w:val="0"/>
              <w:bCs/>
              <w:sz w:val="24"/>
              <w:szCs w:val="24"/>
            </w:rPr>
            <w:tab/>
          </w:r>
          <w:r>
            <w:rPr>
              <w:b w:val="0"/>
              <w:bCs/>
              <w:sz w:val="24"/>
              <w:szCs w:val="24"/>
            </w:rPr>
            <w:fldChar w:fldCharType="begin"/>
          </w:r>
          <w:r>
            <w:rPr>
              <w:b w:val="0"/>
              <w:bCs/>
              <w:sz w:val="24"/>
              <w:szCs w:val="24"/>
            </w:rPr>
            <w:instrText xml:space="preserve"> PAGEREF _Toc6396 \h </w:instrText>
          </w:r>
          <w:r>
            <w:rPr>
              <w:b w:val="0"/>
              <w:bCs/>
              <w:sz w:val="24"/>
              <w:szCs w:val="24"/>
            </w:rPr>
            <w:fldChar w:fldCharType="separate"/>
          </w:r>
          <w:r>
            <w:rPr>
              <w:b w:val="0"/>
              <w:bCs/>
              <w:sz w:val="24"/>
              <w:szCs w:val="24"/>
            </w:rPr>
            <w:t>20</w:t>
          </w:r>
          <w:r>
            <w:rPr>
              <w:b w:val="0"/>
              <w:bCs/>
              <w:sz w:val="24"/>
              <w:szCs w:val="24"/>
            </w:rPr>
            <w:fldChar w:fldCharType="end"/>
          </w:r>
          <w:r>
            <w:rPr>
              <w:b w:val="0"/>
              <w:bCs/>
              <w:sz w:val="24"/>
              <w:szCs w:val="24"/>
            </w:rPr>
            <w:fldChar w:fldCharType="end"/>
          </w:r>
        </w:p>
        <w:p>
          <w:pPr>
            <w:pStyle w:val="25"/>
            <w:tabs>
              <w:tab w:val="right" w:leader="dot" w:pos="9412"/>
            </w:tabs>
            <w:spacing w:line="520" w:lineRule="exact"/>
            <w:rPr>
              <w:b w:val="0"/>
              <w:bCs/>
              <w:sz w:val="24"/>
              <w:szCs w:val="24"/>
            </w:rPr>
            <w:sectPr>
              <w:footerReference r:id="rId5" w:type="default"/>
              <w:pgSz w:w="11906" w:h="16838"/>
              <w:pgMar w:top="1644" w:right="1077" w:bottom="1474" w:left="1417" w:header="0" w:footer="992" w:gutter="0"/>
              <w:cols w:space="0" w:num="1"/>
              <w:formProt w:val="0"/>
              <w:rtlGutter w:val="0"/>
              <w:docGrid w:type="lines" w:linePitch="312" w:charSpace="0"/>
            </w:sectPr>
          </w:pPr>
        </w:p>
        <w:p>
          <w:pPr>
            <w:pStyle w:val="25"/>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_Toc13642 </w:instrText>
          </w:r>
          <w:r>
            <w:rPr>
              <w:b w:val="0"/>
              <w:bCs/>
              <w:sz w:val="24"/>
              <w:szCs w:val="24"/>
            </w:rPr>
            <w:fldChar w:fldCharType="separate"/>
          </w:r>
          <w:r>
            <w:rPr>
              <w:rFonts w:hint="eastAsia" w:ascii="方正黑体_GBK" w:hAnsi="方正黑体_GBK" w:eastAsia="方正黑体_GBK" w:cs="方正黑体_GBK"/>
              <w:b w:val="0"/>
              <w:bCs/>
              <w:kern w:val="2"/>
              <w:sz w:val="24"/>
              <w:szCs w:val="24"/>
              <w:shd w:val="clear"/>
            </w:rPr>
            <w:t>八、评价建议</w:t>
          </w:r>
          <w:r>
            <w:rPr>
              <w:b w:val="0"/>
              <w:bCs/>
              <w:sz w:val="24"/>
              <w:szCs w:val="24"/>
            </w:rPr>
            <w:tab/>
          </w:r>
          <w:r>
            <w:rPr>
              <w:b w:val="0"/>
              <w:bCs/>
              <w:sz w:val="24"/>
              <w:szCs w:val="24"/>
            </w:rPr>
            <w:fldChar w:fldCharType="begin"/>
          </w:r>
          <w:r>
            <w:rPr>
              <w:b w:val="0"/>
              <w:bCs/>
              <w:sz w:val="24"/>
              <w:szCs w:val="24"/>
            </w:rPr>
            <w:instrText xml:space="preserve"> PAGEREF _Toc13642 \h </w:instrText>
          </w:r>
          <w:r>
            <w:rPr>
              <w:b w:val="0"/>
              <w:bCs/>
              <w:sz w:val="24"/>
              <w:szCs w:val="24"/>
            </w:rPr>
            <w:fldChar w:fldCharType="separate"/>
          </w:r>
          <w:r>
            <w:rPr>
              <w:b w:val="0"/>
              <w:bCs/>
              <w:sz w:val="24"/>
              <w:szCs w:val="24"/>
            </w:rPr>
            <w:t>20</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_Toc8159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（一）强化人才资金管理，提升财政资金使用效率</w:t>
          </w:r>
          <w:r>
            <w:rPr>
              <w:b w:val="0"/>
              <w:bCs/>
              <w:sz w:val="24"/>
              <w:szCs w:val="24"/>
            </w:rPr>
            <w:tab/>
          </w:r>
          <w:r>
            <w:rPr>
              <w:b w:val="0"/>
              <w:bCs/>
              <w:sz w:val="24"/>
              <w:szCs w:val="24"/>
            </w:rPr>
            <w:fldChar w:fldCharType="begin"/>
          </w:r>
          <w:r>
            <w:rPr>
              <w:b w:val="0"/>
              <w:bCs/>
              <w:sz w:val="24"/>
              <w:szCs w:val="24"/>
            </w:rPr>
            <w:instrText xml:space="preserve"> PAGEREF _Toc8159 \h </w:instrText>
          </w:r>
          <w:r>
            <w:rPr>
              <w:b w:val="0"/>
              <w:bCs/>
              <w:sz w:val="24"/>
              <w:szCs w:val="24"/>
            </w:rPr>
            <w:fldChar w:fldCharType="separate"/>
          </w:r>
          <w:r>
            <w:rPr>
              <w:b w:val="0"/>
              <w:bCs/>
              <w:sz w:val="24"/>
              <w:szCs w:val="24"/>
            </w:rPr>
            <w:t>20</w:t>
          </w:r>
          <w:r>
            <w:rPr>
              <w:b w:val="0"/>
              <w:bCs/>
              <w:sz w:val="24"/>
              <w:szCs w:val="24"/>
            </w:rPr>
            <w:fldChar w:fldCharType="end"/>
          </w:r>
          <w:r>
            <w:rPr>
              <w:b w:val="0"/>
              <w:bCs/>
              <w:sz w:val="24"/>
              <w:szCs w:val="24"/>
            </w:rPr>
            <w:fldChar w:fldCharType="end"/>
          </w:r>
        </w:p>
        <w:p>
          <w:pPr>
            <w:pStyle w:val="26"/>
            <w:tabs>
              <w:tab w:val="right" w:leader="dot" w:pos="9412"/>
            </w:tabs>
            <w:spacing w:line="520" w:lineRule="exact"/>
            <w:rPr>
              <w:b w:val="0"/>
              <w:bCs/>
              <w:sz w:val="24"/>
              <w:szCs w:val="24"/>
            </w:rPr>
          </w:pPr>
          <w:r>
            <w:rPr>
              <w:b w:val="0"/>
              <w:bCs/>
              <w:sz w:val="24"/>
              <w:szCs w:val="24"/>
            </w:rPr>
            <w:fldChar w:fldCharType="begin"/>
          </w:r>
          <w:r>
            <w:rPr>
              <w:b w:val="0"/>
              <w:bCs/>
              <w:sz w:val="24"/>
              <w:szCs w:val="24"/>
            </w:rPr>
            <w:instrText xml:space="preserve"> HYPERLINK \l _Toc17940 </w:instrText>
          </w:r>
          <w:r>
            <w:rPr>
              <w:b w:val="0"/>
              <w:bCs/>
              <w:sz w:val="24"/>
              <w:szCs w:val="24"/>
            </w:rPr>
            <w:fldChar w:fldCharType="separate"/>
          </w:r>
          <w:r>
            <w:rPr>
              <w:rFonts w:hint="eastAsia" w:ascii="方正楷体_GBK" w:hAnsi="方正楷体_GBK" w:eastAsia="方正楷体_GBK" w:cs="方正楷体_GBK"/>
              <w:b w:val="0"/>
              <w:bCs/>
              <w:kern w:val="2"/>
              <w:sz w:val="24"/>
              <w:szCs w:val="24"/>
              <w:shd w:val="clear"/>
            </w:rPr>
            <w:t>（二）优化财政支持政策，进一步引进优秀人才</w:t>
          </w:r>
          <w:r>
            <w:rPr>
              <w:b w:val="0"/>
              <w:bCs/>
              <w:sz w:val="24"/>
              <w:szCs w:val="24"/>
            </w:rPr>
            <w:tab/>
          </w:r>
          <w:r>
            <w:rPr>
              <w:b w:val="0"/>
              <w:bCs/>
              <w:sz w:val="24"/>
              <w:szCs w:val="24"/>
            </w:rPr>
            <w:fldChar w:fldCharType="begin"/>
          </w:r>
          <w:r>
            <w:rPr>
              <w:b w:val="0"/>
              <w:bCs/>
              <w:sz w:val="24"/>
              <w:szCs w:val="24"/>
            </w:rPr>
            <w:instrText xml:space="preserve"> PAGEREF _Toc17940 \h </w:instrText>
          </w:r>
          <w:r>
            <w:rPr>
              <w:b w:val="0"/>
              <w:bCs/>
              <w:sz w:val="24"/>
              <w:szCs w:val="24"/>
            </w:rPr>
            <w:fldChar w:fldCharType="separate"/>
          </w:r>
          <w:r>
            <w:rPr>
              <w:b w:val="0"/>
              <w:bCs/>
              <w:sz w:val="24"/>
              <w:szCs w:val="24"/>
            </w:rPr>
            <w:t>21</w:t>
          </w:r>
          <w:r>
            <w:rPr>
              <w:b w:val="0"/>
              <w:bCs/>
              <w:sz w:val="24"/>
              <w:szCs w:val="24"/>
            </w:rPr>
            <w:fldChar w:fldCharType="end"/>
          </w:r>
          <w:r>
            <w:rPr>
              <w:b w:val="0"/>
              <w:bCs/>
              <w:sz w:val="24"/>
              <w:szCs w:val="24"/>
            </w:rPr>
            <w:fldChar w:fldCharType="end"/>
          </w:r>
        </w:p>
        <w:p>
          <w:pPr>
            <w:pStyle w:val="26"/>
            <w:tabs>
              <w:tab w:val="right" w:leader="dot" w:pos="9412"/>
            </w:tabs>
            <w:spacing w:line="520" w:lineRule="exact"/>
          </w:pPr>
          <w:r>
            <w:rPr>
              <w:b w:val="0"/>
              <w:bCs/>
              <w:sz w:val="24"/>
              <w:szCs w:val="24"/>
            </w:rPr>
            <w:fldChar w:fldCharType="begin"/>
          </w:r>
          <w:r>
            <w:rPr>
              <w:b w:val="0"/>
              <w:bCs/>
              <w:sz w:val="24"/>
              <w:szCs w:val="24"/>
            </w:rPr>
            <w:instrText xml:space="preserve"> HYPERLINK \l _Toc29766 </w:instrText>
          </w:r>
          <w:r>
            <w:rPr>
              <w:b w:val="0"/>
              <w:bCs/>
              <w:sz w:val="24"/>
              <w:szCs w:val="24"/>
            </w:rPr>
            <w:fldChar w:fldCharType="separate"/>
          </w:r>
          <w:r>
            <w:rPr>
              <w:rFonts w:hint="eastAsia" w:ascii="方正楷体_GBK" w:hAnsi="方正楷体_GBK" w:eastAsia="方正楷体_GBK" w:cs="方正楷体_GBK"/>
              <w:b w:val="0"/>
              <w:bCs/>
              <w:kern w:val="2"/>
              <w:sz w:val="24"/>
              <w:szCs w:val="24"/>
            </w:rPr>
            <w:t>（</w:t>
          </w:r>
          <w:r>
            <w:rPr>
              <w:rFonts w:hint="eastAsia" w:ascii="方正楷体_GBK" w:hAnsi="方正楷体_GBK" w:eastAsia="方正楷体_GBK" w:cs="方正楷体_GBK"/>
              <w:b w:val="0"/>
              <w:bCs/>
              <w:kern w:val="2"/>
              <w:sz w:val="24"/>
              <w:szCs w:val="24"/>
              <w:shd w:val="clear"/>
            </w:rPr>
            <w:t>三）着力产业培育，引培企业急需人才</w:t>
          </w:r>
          <w:r>
            <w:rPr>
              <w:b w:val="0"/>
              <w:bCs/>
              <w:sz w:val="24"/>
              <w:szCs w:val="24"/>
            </w:rPr>
            <w:tab/>
          </w:r>
          <w:r>
            <w:rPr>
              <w:b w:val="0"/>
              <w:bCs/>
              <w:sz w:val="24"/>
              <w:szCs w:val="24"/>
            </w:rPr>
            <w:fldChar w:fldCharType="begin"/>
          </w:r>
          <w:r>
            <w:rPr>
              <w:b w:val="0"/>
              <w:bCs/>
              <w:sz w:val="24"/>
              <w:szCs w:val="24"/>
            </w:rPr>
            <w:instrText xml:space="preserve"> PAGEREF _Toc29766 \h </w:instrText>
          </w:r>
          <w:r>
            <w:rPr>
              <w:b w:val="0"/>
              <w:bCs/>
              <w:sz w:val="24"/>
              <w:szCs w:val="24"/>
            </w:rPr>
            <w:fldChar w:fldCharType="separate"/>
          </w:r>
          <w:r>
            <w:rPr>
              <w:b w:val="0"/>
              <w:bCs/>
              <w:sz w:val="24"/>
              <w:szCs w:val="24"/>
            </w:rPr>
            <w:t>22</w:t>
          </w:r>
          <w:r>
            <w:rPr>
              <w:b w:val="0"/>
              <w:bCs/>
              <w:sz w:val="24"/>
              <w:szCs w:val="24"/>
            </w:rPr>
            <w:fldChar w:fldCharType="end"/>
          </w:r>
          <w:r>
            <w:rPr>
              <w:b w:val="0"/>
              <w:bCs/>
              <w:sz w:val="24"/>
              <w:szCs w:val="24"/>
            </w:rPr>
            <w:fldChar w:fldCharType="end"/>
          </w:r>
        </w:p>
        <w:p>
          <w:pPr>
            <w:spacing w:line="520" w:lineRule="exact"/>
          </w:pPr>
          <w:r>
            <w:rPr>
              <w:b/>
            </w:rPr>
            <w:fldChar w:fldCharType="end"/>
          </w:r>
        </w:p>
      </w:sdtContent>
    </w:sdt>
    <w:p>
      <w:pPr>
        <w:widowControl/>
        <w:jc w:val="left"/>
      </w:pPr>
    </w:p>
    <w:p/>
    <w:p>
      <w:pPr>
        <w:autoSpaceDE w:val="0"/>
        <w:autoSpaceDN w:val="0"/>
        <w:spacing w:line="360" w:lineRule="auto"/>
        <w:jc w:val="center"/>
        <w:rPr>
          <w:rFonts w:ascii="黑体" w:hAnsi="黑体" w:eastAsia="黑体" w:cs="黑体"/>
          <w:b/>
          <w:kern w:val="0"/>
          <w:sz w:val="36"/>
          <w:szCs w:val="36"/>
        </w:rPr>
      </w:pPr>
    </w:p>
    <w:p>
      <w:pPr>
        <w:autoSpaceDE w:val="0"/>
        <w:autoSpaceDN w:val="0"/>
        <w:spacing w:line="360" w:lineRule="auto"/>
        <w:jc w:val="center"/>
        <w:rPr>
          <w:rFonts w:ascii="黑体" w:hAnsi="黑体" w:eastAsia="黑体" w:cs="黑体"/>
          <w:b/>
          <w:kern w:val="0"/>
          <w:sz w:val="36"/>
          <w:szCs w:val="36"/>
        </w:rPr>
      </w:pPr>
    </w:p>
    <w:p>
      <w:pPr>
        <w:autoSpaceDE w:val="0"/>
        <w:autoSpaceDN w:val="0"/>
        <w:spacing w:line="360" w:lineRule="auto"/>
        <w:rPr>
          <w:rFonts w:ascii="黑体" w:hAnsi="黑体" w:eastAsia="黑体" w:cs="黑体"/>
          <w:b/>
          <w:kern w:val="0"/>
          <w:sz w:val="36"/>
          <w:szCs w:val="36"/>
        </w:rPr>
      </w:pPr>
    </w:p>
    <w:p>
      <w:pPr>
        <w:autoSpaceDE w:val="0"/>
        <w:autoSpaceDN w:val="0"/>
        <w:spacing w:line="360" w:lineRule="auto"/>
        <w:jc w:val="center"/>
        <w:rPr>
          <w:rFonts w:ascii="黑体" w:hAnsi="黑体" w:eastAsia="黑体" w:cs="黑体"/>
          <w:b/>
          <w:kern w:val="0"/>
          <w:sz w:val="36"/>
          <w:szCs w:val="36"/>
        </w:rPr>
        <w:sectPr>
          <w:footerReference r:id="rId6" w:type="default"/>
          <w:pgSz w:w="11906" w:h="16838"/>
          <w:pgMar w:top="1644" w:right="1077" w:bottom="1474" w:left="1417" w:header="0" w:footer="992" w:gutter="0"/>
          <w:cols w:space="0" w:num="1"/>
          <w:formProt w:val="0"/>
          <w:rtlGutter w:val="0"/>
          <w:docGrid w:type="lines" w:linePitch="312" w:charSpace="0"/>
        </w:sectPr>
      </w:pPr>
    </w:p>
    <w:p>
      <w:pPr>
        <w:autoSpaceDE w:val="0"/>
        <w:autoSpaceDN w:val="0"/>
        <w:adjustRightInd w:val="0"/>
        <w:spacing w:line="500" w:lineRule="exact"/>
        <w:ind w:right="13" w:rightChars="6"/>
        <w:jc w:val="distribute"/>
        <w:outlineLvl w:val="0"/>
        <w:rPr>
          <w:rFonts w:ascii="黑体" w:hAnsi="黑体" w:eastAsia="黑体"/>
          <w:b/>
          <w:spacing w:val="50"/>
          <w:kern w:val="20"/>
          <w:sz w:val="44"/>
          <w:szCs w:val="44"/>
        </w:rPr>
      </w:pPr>
      <w:bookmarkStart w:id="0" w:name="_Toc652"/>
      <w:bookmarkStart w:id="1" w:name="_Toc29770"/>
      <w:bookmarkStart w:id="2" w:name="_Toc5193"/>
      <w:r>
        <w:rPr>
          <w:rFonts w:hint="eastAsia" w:ascii="黑体" w:hAnsi="黑体" w:eastAsia="黑体"/>
          <w:b/>
          <w:spacing w:val="50"/>
          <w:kern w:val="20"/>
          <w:sz w:val="44"/>
          <w:szCs w:val="44"/>
        </w:rPr>
        <w:t>江苏润华会计师事务所有限公司</w:t>
      </w:r>
      <w:bookmarkEnd w:id="0"/>
      <w:bookmarkEnd w:id="1"/>
      <w:bookmarkEnd w:id="2"/>
    </w:p>
    <w:p>
      <w:pPr>
        <w:pStyle w:val="3"/>
        <w:autoSpaceDE w:val="0"/>
        <w:autoSpaceDN w:val="0"/>
        <w:spacing w:line="500" w:lineRule="exact"/>
        <w:jc w:val="distribute"/>
        <w:rPr>
          <w:rFonts w:ascii="黑体" w:hAnsi="黑体" w:eastAsia="黑体" w:cs="黑体"/>
          <w:b/>
          <w:kern w:val="0"/>
          <w:sz w:val="36"/>
          <w:szCs w:val="36"/>
        </w:rPr>
      </w:pPr>
      <w:bookmarkStart w:id="3" w:name="_Toc30354_WPSOffice_Level1"/>
      <w:bookmarkStart w:id="4" w:name="_Toc17376648"/>
      <w:bookmarkStart w:id="5" w:name="_Toc29902_WPSOffice_Level1"/>
      <w:bookmarkStart w:id="6" w:name="_Toc70612345"/>
      <w:bookmarkStart w:id="7" w:name="_Toc2358_WPSOffice_Level1"/>
      <w:bookmarkStart w:id="8" w:name="_Toc13246"/>
      <w:bookmarkStart w:id="9" w:name="_Toc8602"/>
      <w:bookmarkStart w:id="10" w:name="_Toc19214_WPSOffice_Level1"/>
      <w:bookmarkStart w:id="11" w:name="_Toc20315225"/>
      <w:bookmarkStart w:id="12" w:name="_Toc18752"/>
      <w:bookmarkStart w:id="13" w:name="_Toc28976"/>
      <w:bookmarkStart w:id="14" w:name="_Toc12128_WPSOffice_Level1"/>
      <w:bookmarkStart w:id="15" w:name="_Toc10989"/>
      <w:bookmarkStart w:id="16" w:name="_Toc9612_WPSOffice_Level1"/>
      <w:bookmarkStart w:id="17" w:name="_Toc10432"/>
      <w:bookmarkStart w:id="18" w:name="_Toc8525"/>
      <w:r>
        <w:rPr>
          <w:rFonts w:hint="eastAsia" w:ascii="新宋体" w:hAnsi="新宋体" w:eastAsia="新宋体"/>
          <w:spacing w:val="0"/>
          <w:kern w:val="20"/>
          <w:u w:val="single"/>
        </w:rPr>
        <w:t>Jiangsu RunHua Certified Public Accountants Co.,Ltd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suppressAutoHyphens w:val="0"/>
        <w:autoSpaceDE/>
        <w:autoSpaceDN/>
        <w:spacing w:line="560" w:lineRule="exact"/>
        <w:jc w:val="center"/>
        <w:outlineLvl w:val="0"/>
        <w:rPr>
          <w:rFonts w:hint="eastAsia" w:ascii="方正小标宋简体" w:hAnsi="方正小标宋简体" w:eastAsia="方正小标宋简体" w:cs="方正小标宋简体"/>
          <w:b w:val="0"/>
          <w:color w:val="auto"/>
          <w:kern w:val="2"/>
          <w:sz w:val="36"/>
          <w:szCs w:val="36"/>
        </w:rPr>
      </w:pPr>
      <w:bookmarkStart w:id="19" w:name="_Toc24490"/>
      <w:r>
        <w:rPr>
          <w:rFonts w:hint="eastAsia" w:ascii="方正小标宋简体" w:hAnsi="方正小标宋简体" w:eastAsia="方正小标宋简体" w:cs="方正小标宋简体"/>
          <w:b w:val="0"/>
          <w:color w:val="auto"/>
          <w:kern w:val="2"/>
          <w:sz w:val="36"/>
          <w:szCs w:val="36"/>
        </w:rPr>
        <w:t>灌云县2019年度人才</w:t>
      </w:r>
      <w:bookmarkEnd w:id="19"/>
    </w:p>
    <w:p>
      <w:pPr>
        <w:suppressAutoHyphens w:val="0"/>
        <w:autoSpaceDE/>
        <w:autoSpaceDN/>
        <w:spacing w:line="560" w:lineRule="exact"/>
        <w:jc w:val="center"/>
        <w:outlineLvl w:val="0"/>
        <w:rPr>
          <w:rFonts w:hint="eastAsia" w:ascii="方正小标宋简体" w:hAnsi="方正小标宋简体" w:eastAsia="方正小标宋简体" w:cs="方正小标宋简体"/>
          <w:b w:val="0"/>
          <w:color w:val="auto"/>
          <w:kern w:val="2"/>
          <w:sz w:val="36"/>
          <w:szCs w:val="36"/>
        </w:rPr>
      </w:pPr>
      <w:bookmarkStart w:id="20" w:name="_Toc5245"/>
      <w:r>
        <w:rPr>
          <w:rFonts w:hint="eastAsia" w:ascii="方正小标宋简体" w:hAnsi="方正小标宋简体" w:eastAsia="方正小标宋简体" w:cs="方正小标宋简体"/>
          <w:b w:val="0"/>
          <w:color w:val="auto"/>
          <w:kern w:val="2"/>
          <w:sz w:val="36"/>
          <w:szCs w:val="36"/>
        </w:rPr>
        <w:t>专项资金项目绩效评价报告</w:t>
      </w:r>
      <w:bookmarkEnd w:id="20"/>
    </w:p>
    <w:p>
      <w:pPr>
        <w:spacing w:line="480" w:lineRule="auto"/>
        <w:jc w:val="right"/>
        <w:rPr>
          <w:rFonts w:asciiTheme="minorEastAsia" w:hAnsiTheme="minorEastAsia"/>
          <w:sz w:val="32"/>
          <w:szCs w:val="32"/>
        </w:rPr>
      </w:pPr>
      <w:r>
        <w:rPr>
          <w:rFonts w:ascii="仿宋" w:hAnsi="仿宋" w:eastAsia="仿宋" w:cs="仿宋"/>
          <w:sz w:val="36"/>
          <w:szCs w:val="36"/>
        </w:rPr>
        <w:t xml:space="preserve"> </w:t>
      </w:r>
      <w:bookmarkStart w:id="21" w:name="_Toc3007_WPSOffice_Level1"/>
      <w:bookmarkStart w:id="22" w:name="_Toc22580_WPSOffice_Level1"/>
      <w:bookmarkStart w:id="23" w:name="_Toc1083_WPSOffice_Level1"/>
      <w:bookmarkStart w:id="24" w:name="_Toc20936_WPSOffice_Level1"/>
      <w:bookmarkStart w:id="25" w:name="_Toc24576_WPSOffice_Level1"/>
      <w:bookmarkStart w:id="26" w:name="_Toc25835_WPSOffice_Level1"/>
      <w:r>
        <w:rPr>
          <w:rFonts w:hint="eastAsia" w:ascii="黑体" w:hAnsi="黑体" w:eastAsia="黑体" w:cs="黑体"/>
          <w:bCs/>
          <w:sz w:val="24"/>
          <w:szCs w:val="24"/>
          <w:lang w:val="zh-TW" w:eastAsia="zh-TW"/>
        </w:rPr>
        <w:t>苏润绩【202</w:t>
      </w:r>
      <w:r>
        <w:rPr>
          <w:rFonts w:hint="eastAsia" w:ascii="黑体" w:hAnsi="黑体" w:eastAsia="黑体" w:cs="黑体"/>
          <w:bCs/>
          <w:sz w:val="24"/>
          <w:szCs w:val="24"/>
          <w:lang w:val="en-US" w:eastAsia="zh-CN"/>
        </w:rPr>
        <w:t>1</w:t>
      </w:r>
      <w:r>
        <w:rPr>
          <w:rFonts w:hint="eastAsia" w:ascii="黑体" w:hAnsi="黑体" w:eastAsia="黑体" w:cs="黑体"/>
          <w:bCs/>
          <w:sz w:val="24"/>
          <w:szCs w:val="24"/>
          <w:lang w:val="zh-TW" w:eastAsia="zh-TW"/>
        </w:rPr>
        <w:t>】</w:t>
      </w:r>
      <w:bookmarkEnd w:id="21"/>
      <w:bookmarkEnd w:id="22"/>
      <w:bookmarkEnd w:id="23"/>
      <w:bookmarkEnd w:id="24"/>
      <w:bookmarkEnd w:id="25"/>
      <w:bookmarkEnd w:id="26"/>
      <w:r>
        <w:rPr>
          <w:rFonts w:hint="eastAsia" w:ascii="黑体" w:hAnsi="黑体" w:eastAsia="黑体" w:cs="黑体"/>
          <w:bCs/>
          <w:sz w:val="24"/>
          <w:szCs w:val="24"/>
          <w:lang w:val="zh-TW" w:eastAsia="zh-TW"/>
        </w:rPr>
        <w:t>J00</w:t>
      </w:r>
      <w:r>
        <w:rPr>
          <w:rFonts w:hint="eastAsia" w:ascii="黑体" w:hAnsi="黑体" w:eastAsia="黑体" w:cs="黑体"/>
          <w:bCs/>
          <w:sz w:val="24"/>
          <w:szCs w:val="24"/>
          <w:lang w:val="en-US" w:eastAsia="zh-CN"/>
        </w:rPr>
        <w:t>21号</w:t>
      </w:r>
    </w:p>
    <w:p>
      <w:pPr>
        <w:suppressAutoHyphens w:val="0"/>
        <w:autoSpaceDE/>
        <w:autoSpaceDN/>
        <w:spacing w:line="570" w:lineRule="exact"/>
        <w:ind w:firstLine="640" w:firstLineChars="200"/>
        <w:jc w:val="left"/>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为全面检验财政资金使用绩效，考核财政资金绩效预期目标的实现程度、支出效率和综合效果，进一步提高财政支出的管理水平，根据《中共中央国务院关于全面实施预算绩效管理的意见》（中发[2018]34号）、《财政部关于印发〈人才项目支出绩效评价管理办法〉的通知》（财预[2020]10号）,《中共江苏省委江苏省人民政府关于全面实施预算绩效管理的实施意见》(苏发[2019]6号)、和《江苏省预算绩效管理实施意见》及《灌云县人才专项资金管理办法》（财政发[2013]42号）和《灌云县财政局关于开展2020年财政支出绩效评价工作的通知》(灌财绩[2020]14]号)等相关文件，受灌云</w:t>
      </w:r>
      <w:r>
        <w:rPr>
          <w:rFonts w:hint="eastAsia" w:ascii="仿宋" w:hAnsi="仿宋" w:eastAsia="仿宋" w:cs="仿宋"/>
          <w:bCs/>
          <w:color w:val="auto"/>
          <w:kern w:val="2"/>
          <w:sz w:val="32"/>
          <w:szCs w:val="32"/>
        </w:rPr>
        <w:t>县财政局委托，江苏润华会计师事务所组织绩效评价</w:t>
      </w:r>
      <w:r>
        <w:rPr>
          <w:rFonts w:hint="eastAsia" w:ascii="仿宋" w:hAnsi="仿宋" w:eastAsia="仿宋" w:cs="仿宋"/>
          <w:bCs/>
          <w:color w:val="auto"/>
          <w:spacing w:val="-6"/>
          <w:sz w:val="32"/>
          <w:szCs w:val="32"/>
        </w:rPr>
        <w:t>小组</w:t>
      </w:r>
      <w:r>
        <w:rPr>
          <w:rFonts w:hint="eastAsia" w:ascii="仿宋" w:hAnsi="仿宋" w:eastAsia="仿宋" w:cs="仿宋"/>
          <w:bCs/>
          <w:color w:val="auto"/>
          <w:spacing w:val="-6"/>
          <w:kern w:val="2"/>
          <w:sz w:val="32"/>
          <w:szCs w:val="32"/>
        </w:rPr>
        <w:t>，对灌云县2019年度人才专项资金的使用情况实施了绩效评价，形成了本绩效评价报告。评价基准日为2019年12月31 日。</w:t>
      </w:r>
    </w:p>
    <w:p>
      <w:pPr>
        <w:suppressAutoHyphens w:val="0"/>
        <w:spacing w:line="570" w:lineRule="exact"/>
        <w:ind w:firstLine="640" w:firstLineChars="200"/>
        <w:outlineLvl w:val="0"/>
        <w:rPr>
          <w:rFonts w:hint="eastAsia" w:ascii="方正黑体_GBK" w:hAnsi="方正黑体_GBK" w:eastAsia="方正黑体_GBK" w:cs="方正黑体_GBK"/>
          <w:bCs/>
          <w:color w:val="auto"/>
          <w:kern w:val="2"/>
          <w:sz w:val="32"/>
          <w:szCs w:val="32"/>
        </w:rPr>
      </w:pPr>
      <w:bookmarkStart w:id="27" w:name="_Toc9970"/>
      <w:bookmarkStart w:id="28" w:name="_Toc49613842"/>
      <w:r>
        <w:rPr>
          <w:rFonts w:hint="eastAsia" w:ascii="方正黑体_GBK" w:hAnsi="方正黑体_GBK" w:eastAsia="方正黑体_GBK" w:cs="方正黑体_GBK"/>
          <w:bCs/>
          <w:color w:val="auto"/>
          <w:kern w:val="2"/>
          <w:sz w:val="32"/>
          <w:szCs w:val="32"/>
        </w:rPr>
        <w:t>一、项目概况</w:t>
      </w:r>
      <w:bookmarkEnd w:id="27"/>
      <w:bookmarkEnd w:id="28"/>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rPr>
      </w:pPr>
      <w:bookmarkStart w:id="29" w:name="_Toc1977"/>
      <w:r>
        <w:rPr>
          <w:rFonts w:hint="eastAsia" w:ascii="方正楷体_GBK" w:hAnsi="方正楷体_GBK" w:eastAsia="方正楷体_GBK" w:cs="方正楷体_GBK"/>
          <w:bCs/>
          <w:color w:val="auto"/>
          <w:kern w:val="2"/>
          <w:sz w:val="32"/>
          <w:szCs w:val="32"/>
        </w:rPr>
        <w:t>（一）背景</w:t>
      </w:r>
      <w:bookmarkEnd w:id="29"/>
    </w:p>
    <w:p>
      <w:pPr>
        <w:suppressAutoHyphens w:val="0"/>
        <w:autoSpaceDE/>
        <w:autoSpaceDN/>
        <w:spacing w:line="570" w:lineRule="exact"/>
        <w:ind w:firstLine="640" w:firstLineChars="200"/>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人才是科学发展的“第一要素”、“第一资源”和“第一动力”。为深化人才引领、创新驱动。2017年根据《中共中央关于深化人才发展体制机制改革的意见》和中共江苏省委《关于聚力创新深化改革打造具有国际竞争力人才发展环境的意见》（苏发[2017]3号）、连云港市委《关于鼓励和支持人才创新创业的若干政策意见》要求，加快实施创新驱动发展战略，推进科技创新工程，构建区域高层次创新创业人才高地，深入实施“大伊山英才集聚计划”等系列引才计划，积极引进全县经济社会发展急需人才，中共灌云县委、灌云县人民政府印发《灌云县加快人才发展暂行办法》及实施细则等一系列人才新政策。</w:t>
      </w:r>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rPr>
      </w:pPr>
      <w:bookmarkStart w:id="30" w:name="_Toc49613843"/>
      <w:bookmarkStart w:id="31" w:name="_Toc23585"/>
      <w:r>
        <w:rPr>
          <w:rFonts w:hint="eastAsia" w:ascii="方正楷体_GBK" w:hAnsi="方正楷体_GBK" w:eastAsia="方正楷体_GBK" w:cs="方正楷体_GBK"/>
          <w:bCs/>
          <w:color w:val="auto"/>
          <w:kern w:val="2"/>
          <w:sz w:val="32"/>
          <w:szCs w:val="32"/>
          <w:shd w:val="clear" w:color="auto" w:fill="FFFFFF"/>
        </w:rPr>
        <w:t>（</w:t>
      </w:r>
      <w:r>
        <w:rPr>
          <w:rFonts w:hint="eastAsia" w:ascii="方正楷体_GBK" w:hAnsi="方正楷体_GBK" w:eastAsia="方正楷体_GBK" w:cs="方正楷体_GBK"/>
          <w:bCs/>
          <w:color w:val="auto"/>
          <w:kern w:val="2"/>
          <w:sz w:val="32"/>
          <w:szCs w:val="32"/>
        </w:rPr>
        <w:t>二）主要政策</w:t>
      </w:r>
      <w:bookmarkEnd w:id="30"/>
      <w:bookmarkEnd w:id="31"/>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1. 2018年1月1日实行《灌云县加快人才发展暂行办法》，在人才引进、人才培育、平台载体建设、人才服务方面都出台了一系列人才扶持奖励政策，积极引进全县经济社会发展急需人才。</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2. 2017年10月23日开始实施“创响灌云，智富家乡”工作计划</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rPr>
        <w:t>（1）实施</w:t>
      </w:r>
      <w:r>
        <w:rPr>
          <w:rFonts w:hint="eastAsia" w:ascii="仿宋" w:hAnsi="仿宋" w:eastAsia="仿宋" w:cs="仿宋"/>
          <w:bCs/>
          <w:color w:val="auto"/>
          <w:kern w:val="2"/>
          <w:sz w:val="32"/>
          <w:szCs w:val="32"/>
          <w:shd w:val="clear" w:color="auto" w:fill="auto"/>
        </w:rPr>
        <w:t>“乡土人才+创业孵化基地”科技培育工程</w:t>
      </w:r>
    </w:p>
    <w:p>
      <w:pPr>
        <w:suppressAutoHyphens w:val="0"/>
        <w:spacing w:line="570" w:lineRule="exact"/>
        <w:ind w:firstLine="640" w:firstLineChars="200"/>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1.1 孵化基地建设:2017年12月份，在灌云经济开发区、临港产业区、现代农业园区、现代渔业园区及13个乡镇（街道）设立“乡土人才孵化基地”。</w:t>
      </w:r>
    </w:p>
    <w:p>
      <w:pPr>
        <w:suppressAutoHyphens w:val="0"/>
        <w:spacing w:line="570" w:lineRule="exact"/>
        <w:ind w:firstLine="640" w:firstLineChars="200"/>
        <w:rPr>
          <w:rFonts w:hint="eastAsia" w:ascii="仿宋" w:hAnsi="仿宋" w:eastAsia="仿宋" w:cs="仿宋"/>
          <w:bCs/>
          <w:color w:val="auto"/>
          <w:kern w:val="2"/>
          <w:sz w:val="32"/>
          <w:szCs w:val="32"/>
        </w:rPr>
      </w:pPr>
      <w:r>
        <w:rPr>
          <w:rFonts w:hint="eastAsia" w:ascii="仿宋" w:hAnsi="仿宋" w:eastAsia="仿宋" w:cs="仿宋"/>
          <w:bCs/>
          <w:color w:val="auto"/>
          <w:kern w:val="2"/>
          <w:sz w:val="32"/>
          <w:szCs w:val="32"/>
        </w:rPr>
        <w:t>1.2培训载体建设:</w:t>
      </w:r>
      <w:r>
        <w:rPr>
          <w:rFonts w:hint="eastAsia" w:ascii="仿宋" w:hAnsi="仿宋" w:eastAsia="仿宋" w:cs="仿宋"/>
          <w:bCs/>
          <w:color w:val="auto"/>
          <w:kern w:val="2"/>
          <w:sz w:val="32"/>
          <w:szCs w:val="32"/>
          <w:shd w:val="clear" w:color="auto" w:fill="auto"/>
        </w:rPr>
        <w:t>建强县委党校、灌云中专、县农业学校等培训载体，开设传统技艺技能相关专业和课程，推行特色技艺定向招生，加大职前、职后教育力度。</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2）实施“乡土人才+创业示范基地”致富带富工程。利用四年时间，大招一村一品牌、一村一特色涵盖第一、二、三产业的“乡土人才创业示范基地“。到2019年底，全县各乡镇（街道）70%的行政村创成1家县级”乡土人才创业示范基地”，全县各乡镇工业集中区及临港产业区累计创成5家县级“乡土人才创业示范基地”，经济开发区累计创成30家县级“乡土人才创业示范基地”，现代农业园区、现代渔业园区各累计创成15家县级“乡土人才创业示范基地”。</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（3）实施“乡土人才+创业服务平台”创业扶持工程。包括组建电子商务平台、兴建行业发展平台、搭建金融扶持平台、创建项目支撑平台</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（4）“乡土人才+创业明星评选”典型引领工程：开展“乡土人才”十佳带富创业之星、十佳科技创新之星、十佳技艺传承之星评选；举办乡土人才“创业电视大赛”；开展“乡土人才创业明星”事迹宣传</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3. 2017年10月实施高层次人才“惠.智安心”计划，为高层次人才提供健康360、灌云通服务金银卡、直通车及安居工程等全方位的服务，使得高层次人才能够在灌云安居乐业，安心工作。</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4. 2018年6月实施《灌云县鼓励支持人才创新创业助推全县高质发展、后发先至“十百千万工程”行动计划》，利用三年时间整合10个部门的创业扶持政策，实现创业项目落地100个，培育创业典型1000例，举办创业讲堂培训创业人才10000名。</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5. 2018年6月实施《灌云县“精英人才131培养工程”培养对象选拔、培养与管理办法》，3年内培养10名第一层次人才、30名第二层次人才和100名第三层次人才。</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6. 2019年4月实施灌云县在外人才“聚智共筑家乡梦”返乡计划:</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（1）实施灌云籍“学子归雁</w:t>
      </w:r>
      <w:r>
        <w:rPr>
          <w:rFonts w:hint="eastAsia" w:ascii="仿宋" w:hAnsi="仿宋" w:eastAsia="仿宋" w:cs="仿宋"/>
          <w:bCs/>
          <w:color w:val="auto"/>
          <w:kern w:val="2"/>
          <w:sz w:val="32"/>
          <w:szCs w:val="32"/>
          <w:shd w:val="clear" w:color="auto" w:fill="auto"/>
          <w:lang w:eastAsia="zh-CN"/>
        </w:rPr>
        <w:t>”</w:t>
      </w:r>
      <w:r>
        <w:rPr>
          <w:rFonts w:hint="eastAsia" w:ascii="仿宋" w:hAnsi="仿宋" w:eastAsia="仿宋" w:cs="仿宋"/>
          <w:bCs/>
          <w:color w:val="auto"/>
          <w:kern w:val="2"/>
          <w:sz w:val="32"/>
          <w:szCs w:val="32"/>
          <w:shd w:val="clear" w:color="auto" w:fill="auto"/>
        </w:rPr>
        <w:t>工程:开展灌云人才集市进校园活动；开展“百名学子看灌云、金凤还巢哺家乡</w:t>
      </w:r>
      <w:r>
        <w:rPr>
          <w:rFonts w:hint="eastAsia" w:ascii="仿宋" w:hAnsi="仿宋" w:eastAsia="仿宋" w:cs="仿宋"/>
          <w:bCs/>
          <w:color w:val="auto"/>
          <w:kern w:val="2"/>
          <w:sz w:val="32"/>
          <w:szCs w:val="32"/>
          <w:shd w:val="clear" w:color="auto" w:fill="auto"/>
          <w:lang w:eastAsia="zh-CN"/>
        </w:rPr>
        <w:t>”</w:t>
      </w:r>
      <w:r>
        <w:rPr>
          <w:rFonts w:hint="eastAsia" w:ascii="仿宋" w:hAnsi="仿宋" w:eastAsia="仿宋" w:cs="仿宋"/>
          <w:bCs/>
          <w:color w:val="auto"/>
          <w:kern w:val="2"/>
          <w:sz w:val="32"/>
          <w:szCs w:val="32"/>
          <w:shd w:val="clear" w:color="auto" w:fill="auto"/>
        </w:rPr>
        <w:t>活动；设立灌才高校联络站</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（2）实施在外优秀人才“优才回迁”工程:建立灌云籍在外优秀人才返乡工作绿色通道；实施灌云籍优秀人才返乡工作“一站式“服务。</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（3）在外杰出人才“乡贤怀源”工程:开展“一书两馆“行动；开展“百家单位搭鹊桥，千名乡贤助家乡“系列活动。</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（4）实施在外企业家“灌商反哺”工程:建立“返乡创业人才乡情驿站”；实施“灌商回归智.富家乡”行动。</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7. 2019年4月出台《灌云县激励科技创新政策实施细则》，对符合条件的国家级高新技术企业、国家、省、市级创新载体平台、授权专利进行奖励并确定了奖励标准、申报资料及程序。</w:t>
      </w:r>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rPr>
      </w:pPr>
      <w:bookmarkStart w:id="32" w:name="_Toc49613845"/>
      <w:bookmarkStart w:id="33" w:name="_Toc32033"/>
      <w:r>
        <w:rPr>
          <w:rFonts w:hint="eastAsia" w:ascii="方正楷体_GBK" w:hAnsi="方正楷体_GBK" w:eastAsia="方正楷体_GBK" w:cs="方正楷体_GBK"/>
          <w:bCs/>
          <w:color w:val="auto"/>
          <w:kern w:val="2"/>
          <w:sz w:val="32"/>
          <w:szCs w:val="32"/>
          <w:shd w:val="clear" w:color="auto" w:fill="FFFFFF"/>
        </w:rPr>
        <w:t>（三）资金预算</w:t>
      </w:r>
      <w:bookmarkEnd w:id="32"/>
      <w:bookmarkEnd w:id="33"/>
    </w:p>
    <w:p>
      <w:pPr>
        <w:suppressAutoHyphens w:val="0"/>
        <w:spacing w:line="570" w:lineRule="exact"/>
        <w:ind w:firstLine="640" w:firstLineChars="200"/>
        <w:rPr>
          <w:rFonts w:hint="eastAsia" w:ascii="仿宋" w:hAnsi="仿宋" w:eastAsia="仿宋" w:cs="仿宋"/>
          <w:bCs/>
          <w:color w:val="auto"/>
          <w:kern w:val="2"/>
          <w:sz w:val="32"/>
          <w:szCs w:val="32"/>
          <w:shd w:val="clear" w:color="auto" w:fill="FFFFFF"/>
        </w:rPr>
      </w:pPr>
      <w:bookmarkStart w:id="34" w:name="_Toc49613846"/>
      <w:r>
        <w:rPr>
          <w:rFonts w:hint="eastAsia" w:ascii="仿宋" w:hAnsi="仿宋" w:eastAsia="仿宋" w:cs="仿宋"/>
          <w:bCs/>
          <w:color w:val="auto"/>
          <w:kern w:val="2"/>
          <w:sz w:val="32"/>
          <w:szCs w:val="32"/>
          <w:shd w:val="clear" w:color="auto" w:fill="FFFFFF"/>
        </w:rPr>
        <w:t>1.资金</w:t>
      </w:r>
      <w:bookmarkEnd w:id="34"/>
      <w:r>
        <w:rPr>
          <w:rFonts w:hint="eastAsia" w:ascii="仿宋" w:hAnsi="仿宋" w:eastAsia="仿宋" w:cs="仿宋"/>
          <w:bCs/>
          <w:color w:val="auto"/>
          <w:kern w:val="2"/>
          <w:sz w:val="32"/>
          <w:szCs w:val="32"/>
          <w:shd w:val="clear" w:color="auto" w:fill="FFFFFF"/>
        </w:rPr>
        <w:t>预算</w:t>
      </w:r>
    </w:p>
    <w:p>
      <w:pPr>
        <w:suppressAutoHyphens w:val="0"/>
        <w:spacing w:line="570" w:lineRule="exact"/>
        <w:ind w:firstLine="640" w:firstLineChars="200"/>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2019年灌云县财政安排人才专项资金1000万元，</w:t>
      </w:r>
      <w:r>
        <w:rPr>
          <w:rFonts w:hint="eastAsia" w:ascii="仿宋" w:hAnsi="仿宋" w:eastAsia="仿宋" w:cs="仿宋"/>
          <w:bCs/>
          <w:color w:val="auto"/>
          <w:kern w:val="2"/>
          <w:sz w:val="32"/>
          <w:szCs w:val="32"/>
        </w:rPr>
        <w:t>由人才办、科技局和人社局负责实施。</w:t>
      </w:r>
      <w:r>
        <w:rPr>
          <w:rFonts w:hint="eastAsia" w:ascii="仿宋" w:hAnsi="仿宋" w:eastAsia="仿宋" w:cs="仿宋"/>
          <w:bCs/>
          <w:color w:val="auto"/>
          <w:kern w:val="2"/>
          <w:sz w:val="32"/>
          <w:szCs w:val="32"/>
          <w:shd w:val="clear" w:color="auto" w:fill="auto"/>
        </w:rPr>
        <w:t>预算情况见下表：</w:t>
      </w:r>
    </w:p>
    <w:tbl>
      <w:tblPr>
        <w:tblStyle w:val="14"/>
        <w:tblW w:w="8080" w:type="dxa"/>
        <w:jc w:val="center"/>
        <w:tblLayout w:type="fixed"/>
        <w:tblCellMar>
          <w:top w:w="0" w:type="dxa"/>
          <w:left w:w="108" w:type="dxa"/>
          <w:bottom w:w="0" w:type="dxa"/>
          <w:right w:w="108" w:type="dxa"/>
        </w:tblCellMar>
      </w:tblPr>
      <w:tblGrid>
        <w:gridCol w:w="1982"/>
        <w:gridCol w:w="1278"/>
        <w:gridCol w:w="4820"/>
      </w:tblGrid>
      <w:tr>
        <w:tblPrEx>
          <w:tblCellMar>
            <w:top w:w="0" w:type="dxa"/>
            <w:left w:w="108" w:type="dxa"/>
            <w:bottom w:w="0" w:type="dxa"/>
            <w:right w:w="108" w:type="dxa"/>
          </w:tblCellMar>
        </w:tblPrEx>
        <w:trPr>
          <w:trHeight w:val="510" w:hRule="atLeast"/>
          <w:jc w:val="center"/>
        </w:trPr>
        <w:tc>
          <w:tcPr>
            <w:tcW w:w="1982" w:type="dxa"/>
            <w:shd w:val="clear" w:color="auto" w:fill="auto"/>
            <w:vAlign w:val="center"/>
          </w:tcPr>
          <w:p>
            <w:pPr>
              <w:jc w:val="left"/>
              <w:rPr>
                <w:rFonts w:ascii="宋体" w:hAnsi="宋体" w:eastAsia="宋体" w:cs="宋体"/>
                <w:color w:val="000000"/>
                <w:kern w:val="0"/>
                <w:sz w:val="22"/>
              </w:rPr>
            </w:pPr>
          </w:p>
        </w:tc>
        <w:tc>
          <w:tcPr>
            <w:tcW w:w="1278" w:type="dxa"/>
            <w:shd w:val="clear" w:color="auto" w:fill="auto"/>
            <w:vAlign w:val="center"/>
          </w:tcPr>
          <w:p>
            <w:pPr>
              <w:jc w:val="left"/>
              <w:rPr>
                <w:rFonts w:ascii="宋体" w:hAnsi="宋体" w:eastAsia="宋体" w:cs="宋体"/>
                <w:color w:val="000000"/>
                <w:kern w:val="0"/>
                <w:sz w:val="22"/>
              </w:rPr>
            </w:pPr>
          </w:p>
        </w:tc>
        <w:tc>
          <w:tcPr>
            <w:tcW w:w="4820" w:type="dxa"/>
            <w:shd w:val="clear" w:color="auto" w:fill="auto"/>
            <w:vAlign w:val="center"/>
          </w:tcPr>
          <w:p>
            <w:pPr>
              <w:jc w:val="right"/>
              <w:rPr>
                <w:rFonts w:ascii="宋体" w:hAnsi="宋体" w:eastAsia="宋体" w:cs="宋体"/>
                <w:color w:val="000000"/>
                <w:kern w:val="0"/>
                <w:sz w:val="24"/>
                <w:szCs w:val="24"/>
              </w:rPr>
            </w:pPr>
            <w:r>
              <w:rPr>
                <w:rFonts w:ascii="宋体" w:hAnsi="宋体" w:cs="宋体"/>
                <w:color w:val="000000"/>
                <w:kern w:val="0"/>
                <w:sz w:val="24"/>
                <w:szCs w:val="24"/>
                <w:lang w:bidi="hi-IN"/>
              </w:rPr>
              <w:t>单位：万元</w:t>
            </w:r>
          </w:p>
        </w:tc>
      </w:tr>
      <w:tr>
        <w:tblPrEx>
          <w:tblCellMar>
            <w:top w:w="0" w:type="dxa"/>
            <w:left w:w="108" w:type="dxa"/>
            <w:bottom w:w="0" w:type="dxa"/>
            <w:right w:w="108" w:type="dxa"/>
          </w:tblCellMar>
        </w:tblPrEx>
        <w:trPr>
          <w:trHeight w:val="585" w:hRule="atLeast"/>
          <w:jc w:val="center"/>
        </w:trPr>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项  目</w:t>
            </w:r>
          </w:p>
        </w:tc>
        <w:tc>
          <w:tcPr>
            <w:tcW w:w="1278"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预算资金</w:t>
            </w:r>
          </w:p>
        </w:tc>
        <w:tc>
          <w:tcPr>
            <w:tcW w:w="4820"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使 用 内 容</w:t>
            </w:r>
          </w:p>
        </w:tc>
      </w:tr>
      <w:tr>
        <w:tblPrEx>
          <w:tblCellMar>
            <w:top w:w="0" w:type="dxa"/>
            <w:left w:w="108" w:type="dxa"/>
            <w:bottom w:w="0" w:type="dxa"/>
            <w:right w:w="108" w:type="dxa"/>
          </w:tblCellMar>
        </w:tblPrEx>
        <w:trPr>
          <w:trHeight w:val="1050" w:hRule="atLeast"/>
          <w:jc w:val="center"/>
        </w:trPr>
        <w:tc>
          <w:tcPr>
            <w:tcW w:w="1982" w:type="dxa"/>
            <w:tcBorders>
              <w:left w:val="single" w:color="000000" w:sz="4" w:space="0"/>
              <w:bottom w:val="single" w:color="auto"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人才引进</w:t>
            </w:r>
          </w:p>
        </w:tc>
        <w:tc>
          <w:tcPr>
            <w:tcW w:w="1278" w:type="dxa"/>
            <w:tcBorders>
              <w:bottom w:val="single" w:color="auto" w:sz="4" w:space="0"/>
              <w:right w:val="single" w:color="000000"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310.00</w:t>
            </w:r>
          </w:p>
        </w:tc>
        <w:tc>
          <w:tcPr>
            <w:tcW w:w="4820" w:type="dxa"/>
            <w:tcBorders>
              <w:bottom w:val="single" w:color="auto"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为近年引进的高层次人才发放政府津贴、购房补贴、租房补贴等约</w:t>
            </w:r>
            <w:r>
              <w:rPr>
                <w:rFonts w:ascii="方正仿宋_GBK" w:hAnsi="方正仿宋_GBK" w:eastAsia="方正仿宋_GBK" w:cs="Times New Roman"/>
                <w:color w:val="000000"/>
                <w:kern w:val="0"/>
                <w:sz w:val="24"/>
                <w:szCs w:val="24"/>
                <w:lang w:bidi="hi-IN"/>
              </w:rPr>
              <w:t>250</w:t>
            </w:r>
            <w:r>
              <w:rPr>
                <w:rFonts w:ascii="方正仿宋_GBK" w:hAnsi="方正仿宋_GBK" w:eastAsia="方正仿宋_GBK" w:cs="宋体"/>
                <w:color w:val="000000"/>
                <w:kern w:val="0"/>
                <w:sz w:val="24"/>
                <w:szCs w:val="24"/>
                <w:lang w:bidi="hi-IN"/>
              </w:rPr>
              <w:t>万元，举办人才招引活动经费约</w:t>
            </w:r>
            <w:r>
              <w:rPr>
                <w:rFonts w:ascii="方正仿宋_GBK" w:hAnsi="方正仿宋_GBK" w:eastAsia="方正仿宋_GBK" w:cs="Times New Roman"/>
                <w:color w:val="000000"/>
                <w:kern w:val="0"/>
                <w:sz w:val="24"/>
                <w:szCs w:val="24"/>
                <w:lang w:bidi="hi-IN"/>
              </w:rPr>
              <w:t>60</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1785"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人才培育</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285.00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spacing w:val="-11"/>
                <w:kern w:val="0"/>
                <w:sz w:val="24"/>
                <w:szCs w:val="24"/>
                <w:lang w:bidi="hi-IN"/>
              </w:rPr>
              <w:t>兑现花果山英才计划资助资金</w:t>
            </w:r>
            <w:r>
              <w:rPr>
                <w:rFonts w:ascii="方正仿宋_GBK" w:hAnsi="方正仿宋_GBK" w:eastAsia="方正仿宋_GBK" w:cs="Times New Roman"/>
                <w:color w:val="000000"/>
                <w:spacing w:val="-11"/>
                <w:kern w:val="0"/>
                <w:sz w:val="24"/>
                <w:szCs w:val="24"/>
                <w:lang w:bidi="hi-IN"/>
              </w:rPr>
              <w:t>50</w:t>
            </w:r>
            <w:r>
              <w:rPr>
                <w:rFonts w:ascii="方正仿宋_GBK" w:hAnsi="方正仿宋_GBK" w:eastAsia="方正仿宋_GBK" w:cs="宋体"/>
                <w:color w:val="000000"/>
                <w:spacing w:val="-11"/>
                <w:kern w:val="0"/>
                <w:sz w:val="24"/>
                <w:szCs w:val="24"/>
                <w:lang w:bidi="hi-IN"/>
              </w:rPr>
              <w:t>万元；人才培训费</w:t>
            </w:r>
            <w:r>
              <w:rPr>
                <w:rFonts w:ascii="方正仿宋_GBK" w:hAnsi="方正仿宋_GBK" w:eastAsia="方正仿宋_GBK" w:cs="Times New Roman"/>
                <w:color w:val="000000"/>
                <w:spacing w:val="-11"/>
                <w:kern w:val="0"/>
                <w:sz w:val="24"/>
                <w:szCs w:val="24"/>
                <w:lang w:bidi="hi-IN"/>
              </w:rPr>
              <w:t>100</w:t>
            </w:r>
            <w:r>
              <w:rPr>
                <w:rFonts w:ascii="方正仿宋_GBK" w:hAnsi="方正仿宋_GBK" w:eastAsia="方正仿宋_GBK" w:cs="宋体"/>
                <w:color w:val="000000"/>
                <w:spacing w:val="-11"/>
                <w:kern w:val="0"/>
                <w:sz w:val="24"/>
                <w:szCs w:val="24"/>
                <w:lang w:bidi="hi-IN"/>
              </w:rPr>
              <w:t>万元（其中举办</w:t>
            </w:r>
            <w:r>
              <w:rPr>
                <w:rFonts w:ascii="方正仿宋_GBK" w:hAnsi="方正仿宋_GBK" w:eastAsia="方正仿宋_GBK" w:cs="Times New Roman"/>
                <w:color w:val="000000"/>
                <w:spacing w:val="-11"/>
                <w:kern w:val="0"/>
                <w:sz w:val="24"/>
                <w:szCs w:val="24"/>
                <w:lang w:bidi="hi-IN"/>
              </w:rPr>
              <w:t>5</w:t>
            </w:r>
            <w:r>
              <w:rPr>
                <w:rFonts w:ascii="方正仿宋_GBK" w:hAnsi="方正仿宋_GBK" w:eastAsia="方正仿宋_GBK" w:cs="宋体"/>
                <w:color w:val="000000"/>
                <w:spacing w:val="-11"/>
                <w:kern w:val="0"/>
                <w:sz w:val="24"/>
                <w:szCs w:val="24"/>
                <w:lang w:bidi="hi-IN"/>
              </w:rPr>
              <w:t>个专题培训班</w:t>
            </w:r>
            <w:r>
              <w:rPr>
                <w:rFonts w:ascii="方正仿宋_GBK" w:hAnsi="方正仿宋_GBK" w:eastAsia="方正仿宋_GBK" w:cs="Times New Roman"/>
                <w:color w:val="000000"/>
                <w:spacing w:val="-11"/>
                <w:kern w:val="0"/>
                <w:sz w:val="24"/>
                <w:szCs w:val="24"/>
                <w:lang w:bidi="hi-IN"/>
              </w:rPr>
              <w:t>65</w:t>
            </w:r>
            <w:r>
              <w:rPr>
                <w:rFonts w:ascii="方正仿宋_GBK" w:hAnsi="方正仿宋_GBK" w:eastAsia="方正仿宋_GBK" w:cs="宋体"/>
                <w:color w:val="000000"/>
                <w:spacing w:val="-11"/>
                <w:kern w:val="0"/>
                <w:sz w:val="24"/>
                <w:szCs w:val="24"/>
                <w:lang w:bidi="hi-IN"/>
              </w:rPr>
              <w:t>万元，兑现技能人才、社工人才等培训补助</w:t>
            </w:r>
            <w:r>
              <w:rPr>
                <w:rFonts w:ascii="方正仿宋_GBK" w:hAnsi="方正仿宋_GBK" w:eastAsia="方正仿宋_GBK" w:cs="Times New Roman"/>
                <w:color w:val="000000"/>
                <w:spacing w:val="-11"/>
                <w:kern w:val="0"/>
                <w:sz w:val="24"/>
                <w:szCs w:val="24"/>
                <w:lang w:bidi="hi-IN"/>
              </w:rPr>
              <w:t>15</w:t>
            </w:r>
            <w:r>
              <w:rPr>
                <w:rFonts w:ascii="方正仿宋_GBK" w:hAnsi="方正仿宋_GBK" w:eastAsia="方正仿宋_GBK" w:cs="宋体"/>
                <w:color w:val="000000"/>
                <w:spacing w:val="-11"/>
                <w:kern w:val="0"/>
                <w:sz w:val="24"/>
                <w:szCs w:val="24"/>
                <w:lang w:bidi="hi-IN"/>
              </w:rPr>
              <w:t>万元，举办各类论坛、专题讲座</w:t>
            </w:r>
            <w:r>
              <w:rPr>
                <w:rFonts w:ascii="方正仿宋_GBK" w:hAnsi="方正仿宋_GBK" w:eastAsia="方正仿宋_GBK" w:cs="Times New Roman"/>
                <w:color w:val="000000"/>
                <w:spacing w:val="-11"/>
                <w:kern w:val="0"/>
                <w:sz w:val="24"/>
                <w:szCs w:val="24"/>
                <w:lang w:bidi="hi-IN"/>
              </w:rPr>
              <w:t>20</w:t>
            </w:r>
            <w:r>
              <w:rPr>
                <w:rFonts w:ascii="方正仿宋_GBK" w:hAnsi="方正仿宋_GBK" w:eastAsia="方正仿宋_GBK" w:cs="宋体"/>
                <w:color w:val="000000"/>
                <w:spacing w:val="-11"/>
                <w:kern w:val="0"/>
                <w:sz w:val="24"/>
                <w:szCs w:val="24"/>
                <w:lang w:bidi="hi-IN"/>
              </w:rPr>
              <w:t>万元）；人才评选表彰</w:t>
            </w:r>
            <w:r>
              <w:rPr>
                <w:rFonts w:ascii="方正仿宋_GBK" w:hAnsi="方正仿宋_GBK" w:eastAsia="方正仿宋_GBK" w:cs="Times New Roman"/>
                <w:color w:val="000000"/>
                <w:spacing w:val="-11"/>
                <w:kern w:val="0"/>
                <w:sz w:val="24"/>
                <w:szCs w:val="24"/>
                <w:lang w:bidi="hi-IN"/>
              </w:rPr>
              <w:t>135</w:t>
            </w:r>
            <w:r>
              <w:rPr>
                <w:rFonts w:ascii="方正仿宋_GBK" w:hAnsi="方正仿宋_GBK" w:eastAsia="方正仿宋_GBK" w:cs="宋体"/>
                <w:color w:val="000000"/>
                <w:spacing w:val="-11"/>
                <w:kern w:val="0"/>
                <w:sz w:val="24"/>
                <w:szCs w:val="24"/>
                <w:lang w:bidi="hi-IN"/>
              </w:rPr>
              <w:t>万元（其中“县级专业技术拔尖人才”评选活动经费及奖金</w:t>
            </w:r>
            <w:r>
              <w:rPr>
                <w:rFonts w:ascii="方正仿宋_GBK" w:hAnsi="方正仿宋_GBK" w:eastAsia="方正仿宋_GBK" w:cs="Times New Roman"/>
                <w:color w:val="000000"/>
                <w:spacing w:val="-11"/>
                <w:kern w:val="0"/>
                <w:sz w:val="24"/>
                <w:szCs w:val="24"/>
                <w:lang w:bidi="hi-IN"/>
              </w:rPr>
              <w:t>30</w:t>
            </w:r>
            <w:r>
              <w:rPr>
                <w:rFonts w:ascii="方正仿宋_GBK" w:hAnsi="方正仿宋_GBK" w:eastAsia="方正仿宋_GBK" w:cs="宋体"/>
                <w:color w:val="000000"/>
                <w:spacing w:val="-11"/>
                <w:kern w:val="0"/>
                <w:sz w:val="24"/>
                <w:szCs w:val="24"/>
                <w:lang w:bidi="hi-IN"/>
              </w:rPr>
              <w:t>万元，“精英人才</w:t>
            </w:r>
            <w:r>
              <w:rPr>
                <w:rFonts w:ascii="方正仿宋_GBK" w:hAnsi="方正仿宋_GBK" w:eastAsia="方正仿宋_GBK" w:cs="Times New Roman"/>
                <w:color w:val="000000"/>
                <w:spacing w:val="-11"/>
                <w:kern w:val="0"/>
                <w:sz w:val="24"/>
                <w:szCs w:val="24"/>
                <w:lang w:bidi="hi-IN"/>
              </w:rPr>
              <w:t>131</w:t>
            </w:r>
            <w:r>
              <w:rPr>
                <w:rFonts w:ascii="方正仿宋_GBK" w:hAnsi="方正仿宋_GBK" w:eastAsia="方正仿宋_GBK" w:cs="宋体"/>
                <w:color w:val="000000"/>
                <w:spacing w:val="-11"/>
                <w:kern w:val="0"/>
                <w:sz w:val="24"/>
                <w:szCs w:val="24"/>
                <w:lang w:bidi="hi-IN"/>
              </w:rPr>
              <w:t>工程”评选费</w:t>
            </w:r>
            <w:r>
              <w:rPr>
                <w:rFonts w:ascii="方正仿宋_GBK" w:hAnsi="方正仿宋_GBK" w:eastAsia="方正仿宋_GBK" w:cs="Times New Roman"/>
                <w:color w:val="000000"/>
                <w:spacing w:val="-11"/>
                <w:kern w:val="0"/>
                <w:sz w:val="24"/>
                <w:szCs w:val="24"/>
                <w:lang w:bidi="hi-IN"/>
              </w:rPr>
              <w:t>15</w:t>
            </w:r>
            <w:r>
              <w:rPr>
                <w:rFonts w:ascii="方正仿宋_GBK" w:hAnsi="方正仿宋_GBK" w:eastAsia="方正仿宋_GBK" w:cs="宋体"/>
                <w:color w:val="000000"/>
                <w:spacing w:val="-11"/>
                <w:kern w:val="0"/>
                <w:sz w:val="24"/>
                <w:szCs w:val="24"/>
                <w:lang w:bidi="hi-IN"/>
              </w:rPr>
              <w:t>万元，两场创业大赛活动费及奖金</w:t>
            </w:r>
            <w:r>
              <w:rPr>
                <w:rFonts w:ascii="方正仿宋_GBK" w:hAnsi="方正仿宋_GBK" w:eastAsia="方正仿宋_GBK" w:cs="Times New Roman"/>
                <w:color w:val="000000"/>
                <w:spacing w:val="-11"/>
                <w:kern w:val="0"/>
                <w:sz w:val="24"/>
                <w:szCs w:val="24"/>
                <w:lang w:bidi="hi-IN"/>
              </w:rPr>
              <w:t>90</w:t>
            </w:r>
            <w:r>
              <w:rPr>
                <w:rFonts w:ascii="方正仿宋_GBK" w:hAnsi="方正仿宋_GBK" w:eastAsia="方正仿宋_GBK" w:cs="宋体"/>
                <w:color w:val="000000"/>
                <w:spacing w:val="-11"/>
                <w:kern w:val="0"/>
                <w:sz w:val="24"/>
                <w:szCs w:val="24"/>
                <w:lang w:bidi="hi-IN"/>
              </w:rPr>
              <w:t>万元）。</w:t>
            </w:r>
          </w:p>
        </w:tc>
      </w:tr>
      <w:tr>
        <w:tblPrEx>
          <w:tblCellMar>
            <w:top w:w="0" w:type="dxa"/>
            <w:left w:w="108" w:type="dxa"/>
            <w:bottom w:w="0" w:type="dxa"/>
            <w:right w:w="108" w:type="dxa"/>
          </w:tblCellMar>
        </w:tblPrEx>
        <w:trPr>
          <w:trHeight w:val="1320"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人才服务</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100.00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健康</w:t>
            </w:r>
            <w:r>
              <w:rPr>
                <w:rFonts w:ascii="方正仿宋_GBK" w:hAnsi="方正仿宋_GBK" w:eastAsia="方正仿宋_GBK" w:cs="Times New Roman"/>
                <w:color w:val="000000"/>
                <w:kern w:val="0"/>
                <w:sz w:val="24"/>
                <w:szCs w:val="24"/>
                <w:lang w:bidi="hi-IN"/>
              </w:rPr>
              <w:t>360</w:t>
            </w:r>
            <w:r>
              <w:rPr>
                <w:rFonts w:ascii="方正仿宋_GBK" w:hAnsi="方正仿宋_GBK" w:eastAsia="方正仿宋_GBK" w:cs="宋体"/>
                <w:color w:val="000000"/>
                <w:kern w:val="0"/>
                <w:sz w:val="24"/>
                <w:szCs w:val="24"/>
                <w:lang w:bidi="hi-IN"/>
              </w:rPr>
              <w:t>工程</w:t>
            </w:r>
            <w:r>
              <w:rPr>
                <w:rFonts w:ascii="方正仿宋_GBK" w:hAnsi="方正仿宋_GBK" w:eastAsia="方正仿宋_GBK" w:cs="Times New Roman"/>
                <w:color w:val="000000"/>
                <w:kern w:val="0"/>
                <w:sz w:val="24"/>
                <w:szCs w:val="24"/>
                <w:lang w:bidi="hi-IN"/>
              </w:rPr>
              <w:t>44</w:t>
            </w:r>
            <w:r>
              <w:rPr>
                <w:rFonts w:ascii="方正仿宋_GBK" w:hAnsi="方正仿宋_GBK" w:eastAsia="方正仿宋_GBK" w:cs="宋体"/>
                <w:color w:val="000000"/>
                <w:kern w:val="0"/>
                <w:sz w:val="24"/>
                <w:szCs w:val="24"/>
                <w:lang w:bidi="hi-IN"/>
              </w:rPr>
              <w:t>万元；举办人才交流、单身人才联谊会等活动经费</w:t>
            </w:r>
            <w:r>
              <w:rPr>
                <w:rFonts w:ascii="方正仿宋_GBK" w:hAnsi="方正仿宋_GBK" w:eastAsia="方正仿宋_GBK" w:cs="Times New Roman"/>
                <w:color w:val="000000"/>
                <w:kern w:val="0"/>
                <w:sz w:val="24"/>
                <w:szCs w:val="24"/>
                <w:lang w:bidi="hi-IN"/>
              </w:rPr>
              <w:t>5</w:t>
            </w:r>
            <w:r>
              <w:rPr>
                <w:rFonts w:ascii="方正仿宋_GBK" w:hAnsi="方正仿宋_GBK" w:eastAsia="方正仿宋_GBK" w:cs="宋体"/>
                <w:color w:val="000000"/>
                <w:kern w:val="0"/>
                <w:sz w:val="24"/>
                <w:szCs w:val="24"/>
                <w:lang w:bidi="hi-IN"/>
              </w:rPr>
              <w:t>万元；灌云通金银卡升级智能卡相关费用</w:t>
            </w:r>
            <w:r>
              <w:rPr>
                <w:rFonts w:ascii="方正仿宋_GBK" w:hAnsi="方正仿宋_GBK" w:eastAsia="方正仿宋_GBK" w:cs="Times New Roman"/>
                <w:color w:val="000000"/>
                <w:kern w:val="0"/>
                <w:sz w:val="24"/>
                <w:szCs w:val="24"/>
                <w:lang w:bidi="hi-IN"/>
              </w:rPr>
              <w:t>15</w:t>
            </w:r>
            <w:r>
              <w:rPr>
                <w:rFonts w:ascii="方正仿宋_GBK" w:hAnsi="方正仿宋_GBK" w:eastAsia="方正仿宋_GBK" w:cs="宋体"/>
                <w:color w:val="000000"/>
                <w:kern w:val="0"/>
                <w:sz w:val="24"/>
                <w:szCs w:val="24"/>
                <w:lang w:bidi="hi-IN"/>
              </w:rPr>
              <w:t>万元；慰问人才</w:t>
            </w:r>
            <w:r>
              <w:rPr>
                <w:rFonts w:ascii="方正仿宋_GBK" w:hAnsi="方正仿宋_GBK" w:eastAsia="方正仿宋_GBK" w:cs="Times New Roman"/>
                <w:color w:val="000000"/>
                <w:kern w:val="0"/>
                <w:sz w:val="24"/>
                <w:szCs w:val="24"/>
                <w:lang w:bidi="hi-IN"/>
              </w:rPr>
              <w:t>6</w:t>
            </w:r>
            <w:r>
              <w:rPr>
                <w:rFonts w:ascii="方正仿宋_GBK" w:hAnsi="方正仿宋_GBK" w:eastAsia="方正仿宋_GBK" w:cs="宋体"/>
                <w:color w:val="000000"/>
                <w:kern w:val="0"/>
                <w:sz w:val="24"/>
                <w:szCs w:val="24"/>
                <w:lang w:bidi="hi-IN"/>
              </w:rPr>
              <w:t>万元；组织人才休假疗养</w:t>
            </w:r>
            <w:r>
              <w:rPr>
                <w:rFonts w:ascii="方正仿宋_GBK" w:hAnsi="方正仿宋_GBK" w:eastAsia="方正仿宋_GBK" w:cs="Times New Roman"/>
                <w:color w:val="000000"/>
                <w:kern w:val="0"/>
                <w:sz w:val="24"/>
                <w:szCs w:val="24"/>
                <w:lang w:bidi="hi-IN"/>
              </w:rPr>
              <w:t>30</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600"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人才宣传</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25.00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举办宣传、解读活动</w:t>
            </w:r>
            <w:r>
              <w:rPr>
                <w:rFonts w:ascii="方正仿宋_GBK" w:hAnsi="方正仿宋_GBK" w:eastAsia="方正仿宋_GBK" w:cs="Times New Roman"/>
                <w:color w:val="000000"/>
                <w:kern w:val="0"/>
                <w:sz w:val="24"/>
                <w:szCs w:val="24"/>
                <w:lang w:bidi="hi-IN"/>
              </w:rPr>
              <w:t>10</w:t>
            </w:r>
            <w:r>
              <w:rPr>
                <w:rFonts w:ascii="方正仿宋_GBK" w:hAnsi="方正仿宋_GBK" w:eastAsia="方正仿宋_GBK" w:cs="宋体"/>
                <w:color w:val="000000"/>
                <w:kern w:val="0"/>
                <w:sz w:val="24"/>
                <w:szCs w:val="24"/>
                <w:lang w:bidi="hi-IN"/>
              </w:rPr>
              <w:t>万元；宣传材料印制</w:t>
            </w:r>
            <w:r>
              <w:rPr>
                <w:rFonts w:ascii="方正仿宋_GBK" w:hAnsi="方正仿宋_GBK" w:eastAsia="方正仿宋_GBK" w:cs="Times New Roman"/>
                <w:color w:val="000000"/>
                <w:kern w:val="0"/>
                <w:sz w:val="24"/>
                <w:szCs w:val="24"/>
                <w:lang w:bidi="hi-IN"/>
              </w:rPr>
              <w:t>15</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630"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科研及载体平台奖励</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150.00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兑现科研奖励</w:t>
            </w:r>
            <w:r>
              <w:rPr>
                <w:rFonts w:ascii="方正仿宋_GBK" w:hAnsi="方正仿宋_GBK" w:eastAsia="方正仿宋_GBK" w:cs="Times New Roman"/>
                <w:color w:val="000000"/>
                <w:kern w:val="0"/>
                <w:sz w:val="24"/>
                <w:szCs w:val="24"/>
                <w:lang w:bidi="hi-IN"/>
              </w:rPr>
              <w:t>50</w:t>
            </w:r>
            <w:r>
              <w:rPr>
                <w:rFonts w:ascii="方正仿宋_GBK" w:hAnsi="方正仿宋_GBK" w:eastAsia="方正仿宋_GBK" w:cs="宋体"/>
                <w:color w:val="000000"/>
                <w:kern w:val="0"/>
                <w:sz w:val="24"/>
                <w:szCs w:val="24"/>
                <w:lang w:bidi="hi-IN"/>
              </w:rPr>
              <w:t>万元；兑现载体平台奖励</w:t>
            </w:r>
            <w:r>
              <w:rPr>
                <w:rFonts w:ascii="方正仿宋_GBK" w:hAnsi="方正仿宋_GBK" w:eastAsia="方正仿宋_GBK" w:cs="Times New Roman"/>
                <w:color w:val="000000"/>
                <w:kern w:val="0"/>
                <w:sz w:val="24"/>
                <w:szCs w:val="24"/>
                <w:lang w:bidi="hi-IN"/>
              </w:rPr>
              <w:t>100</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1260"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乡土人才培育</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20.00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开展“非遗进校园文化心传承”活动经费</w:t>
            </w:r>
            <w:r>
              <w:rPr>
                <w:rFonts w:ascii="方正仿宋_GBK" w:hAnsi="方正仿宋_GBK" w:eastAsia="方正仿宋_GBK" w:cs="Times New Roman"/>
                <w:color w:val="000000"/>
                <w:kern w:val="0"/>
                <w:sz w:val="24"/>
                <w:szCs w:val="24"/>
                <w:lang w:bidi="hi-IN"/>
              </w:rPr>
              <w:t>10</w:t>
            </w:r>
            <w:r>
              <w:rPr>
                <w:rFonts w:ascii="方正仿宋_GBK" w:hAnsi="方正仿宋_GBK" w:eastAsia="方正仿宋_GBK" w:cs="宋体"/>
                <w:color w:val="000000"/>
                <w:kern w:val="0"/>
                <w:sz w:val="24"/>
                <w:szCs w:val="24"/>
                <w:lang w:bidi="hi-IN"/>
              </w:rPr>
              <w:t>万元；创业示范基地、孵化基地、技艺传承基地、大师工作室等创建评选经费</w:t>
            </w:r>
            <w:r>
              <w:rPr>
                <w:rFonts w:ascii="方正仿宋_GBK" w:hAnsi="方正仿宋_GBK" w:eastAsia="方正仿宋_GBK" w:cs="Times New Roman"/>
                <w:color w:val="000000"/>
                <w:kern w:val="0"/>
                <w:sz w:val="24"/>
                <w:szCs w:val="24"/>
                <w:lang w:bidi="hi-IN"/>
              </w:rPr>
              <w:t>10</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1020"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灌才返乡计划</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50.00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“灌才高校联络站”“返乡创业人才乡情驿站”等在外人才站点运行费用</w:t>
            </w:r>
            <w:r>
              <w:rPr>
                <w:rFonts w:ascii="方正仿宋_GBK" w:hAnsi="方正仿宋_GBK" w:eastAsia="方正仿宋_GBK" w:cs="Times New Roman"/>
                <w:color w:val="000000"/>
                <w:kern w:val="0"/>
                <w:sz w:val="24"/>
                <w:szCs w:val="24"/>
                <w:lang w:bidi="hi-IN"/>
              </w:rPr>
              <w:t>20</w:t>
            </w:r>
            <w:r>
              <w:rPr>
                <w:rFonts w:ascii="方正仿宋_GBK" w:hAnsi="方正仿宋_GBK" w:eastAsia="方正仿宋_GBK" w:cs="宋体"/>
                <w:color w:val="000000"/>
                <w:kern w:val="0"/>
                <w:sz w:val="24"/>
                <w:szCs w:val="24"/>
                <w:lang w:bidi="hi-IN"/>
              </w:rPr>
              <w:t>万元，开展相关活动经费</w:t>
            </w:r>
            <w:r>
              <w:rPr>
                <w:rFonts w:ascii="方正仿宋_GBK" w:hAnsi="方正仿宋_GBK" w:eastAsia="方正仿宋_GBK" w:cs="Times New Roman"/>
                <w:color w:val="000000"/>
                <w:kern w:val="0"/>
                <w:sz w:val="24"/>
                <w:szCs w:val="24"/>
                <w:lang w:bidi="hi-IN"/>
              </w:rPr>
              <w:t>30</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690"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人才工作经费</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60.00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　</w:t>
            </w:r>
          </w:p>
        </w:tc>
      </w:tr>
      <w:tr>
        <w:tblPrEx>
          <w:tblCellMar>
            <w:top w:w="0" w:type="dxa"/>
            <w:left w:w="108" w:type="dxa"/>
            <w:bottom w:w="0" w:type="dxa"/>
            <w:right w:w="108" w:type="dxa"/>
          </w:tblCellMar>
        </w:tblPrEx>
        <w:trPr>
          <w:trHeight w:val="585" w:hRule="atLeast"/>
          <w:jc w:val="center"/>
        </w:trPr>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合计</w:t>
            </w: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1,000.00</w:t>
            </w:r>
          </w:p>
        </w:tc>
        <w:tc>
          <w:tcPr>
            <w:tcW w:w="482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　</w:t>
            </w:r>
          </w:p>
        </w:tc>
      </w:tr>
    </w:tbl>
    <w:p>
      <w:pPr>
        <w:suppressAutoHyphens w:val="0"/>
        <w:spacing w:line="570" w:lineRule="exact"/>
        <w:ind w:firstLine="640" w:firstLineChars="200"/>
        <w:jc w:val="left"/>
        <w:rPr>
          <w:rFonts w:hint="eastAsia" w:ascii="仿宋" w:hAnsi="仿宋" w:eastAsia="仿宋" w:cs="仿宋"/>
          <w:bCs/>
          <w:color w:val="auto"/>
          <w:kern w:val="2"/>
          <w:sz w:val="32"/>
          <w:szCs w:val="32"/>
          <w:shd w:val="clear" w:color="auto" w:fill="FFFFFF"/>
        </w:rPr>
      </w:pPr>
      <w:r>
        <w:rPr>
          <w:rFonts w:hint="eastAsia" w:ascii="仿宋" w:hAnsi="仿宋" w:eastAsia="仿宋" w:cs="仿宋"/>
          <w:bCs/>
          <w:color w:val="auto"/>
          <w:kern w:val="2"/>
          <w:sz w:val="32"/>
          <w:szCs w:val="32"/>
          <w:shd w:val="clear" w:color="auto" w:fill="FFFFFF"/>
        </w:rPr>
        <w:t>2. 预算调整情况</w:t>
      </w:r>
    </w:p>
    <w:p>
      <w:pPr>
        <w:suppressAutoHyphens w:val="0"/>
        <w:spacing w:line="570" w:lineRule="exact"/>
        <w:ind w:firstLine="640" w:firstLineChars="200"/>
        <w:jc w:val="left"/>
        <w:rPr>
          <w:rFonts w:hint="eastAsia" w:ascii="仿宋" w:hAnsi="仿宋" w:eastAsia="仿宋" w:cs="仿宋"/>
          <w:bCs/>
          <w:color w:val="auto"/>
          <w:kern w:val="2"/>
          <w:sz w:val="32"/>
          <w:szCs w:val="32"/>
          <w:shd w:val="clear" w:color="auto" w:fill="auto"/>
        </w:rPr>
      </w:pPr>
      <w:r>
        <w:rPr>
          <w:rFonts w:hint="eastAsia" w:ascii="仿宋" w:hAnsi="仿宋" w:eastAsia="仿宋" w:cs="仿宋"/>
          <w:bCs/>
          <w:color w:val="auto"/>
          <w:kern w:val="2"/>
          <w:sz w:val="32"/>
          <w:szCs w:val="32"/>
          <w:shd w:val="clear" w:color="auto" w:fill="auto"/>
        </w:rPr>
        <w:t>当年调整预算</w:t>
      </w:r>
      <w:r>
        <w:rPr>
          <w:rFonts w:hint="eastAsia" w:ascii="仿宋" w:hAnsi="仿宋" w:eastAsia="仿宋" w:cs="仿宋"/>
          <w:bCs/>
          <w:color w:val="auto"/>
          <w:kern w:val="2"/>
          <w:sz w:val="32"/>
          <w:szCs w:val="32"/>
          <w:highlight w:val="none"/>
          <w:shd w:val="clear" w:color="auto" w:fill="auto"/>
        </w:rPr>
        <w:t>366.14</w:t>
      </w:r>
      <w:r>
        <w:rPr>
          <w:rFonts w:hint="eastAsia" w:ascii="仿宋" w:hAnsi="仿宋" w:eastAsia="仿宋" w:cs="仿宋"/>
          <w:bCs/>
          <w:color w:val="auto"/>
          <w:kern w:val="2"/>
          <w:sz w:val="32"/>
          <w:szCs w:val="32"/>
          <w:shd w:val="clear" w:color="auto" w:fill="auto"/>
        </w:rPr>
        <w:t>万元至科技部、人社局。预算资金调整详细情况如下：</w:t>
      </w:r>
    </w:p>
    <w:tbl>
      <w:tblPr>
        <w:tblStyle w:val="14"/>
        <w:tblW w:w="7340" w:type="dxa"/>
        <w:jc w:val="center"/>
        <w:tblLayout w:type="fixed"/>
        <w:tblCellMar>
          <w:top w:w="0" w:type="dxa"/>
          <w:left w:w="108" w:type="dxa"/>
          <w:bottom w:w="0" w:type="dxa"/>
          <w:right w:w="108" w:type="dxa"/>
        </w:tblCellMar>
      </w:tblPr>
      <w:tblGrid>
        <w:gridCol w:w="1379"/>
        <w:gridCol w:w="3701"/>
        <w:gridCol w:w="2260"/>
      </w:tblGrid>
      <w:tr>
        <w:tblPrEx>
          <w:tblCellMar>
            <w:top w:w="0" w:type="dxa"/>
            <w:left w:w="108" w:type="dxa"/>
            <w:bottom w:w="0" w:type="dxa"/>
            <w:right w:w="108" w:type="dxa"/>
          </w:tblCellMar>
        </w:tblPrEx>
        <w:trPr>
          <w:trHeight w:val="270" w:hRule="atLeast"/>
          <w:jc w:val="center"/>
        </w:trPr>
        <w:tc>
          <w:tcPr>
            <w:tcW w:w="1379" w:type="dxa"/>
            <w:tcBorders>
              <w:bottom w:val="single" w:color="auto" w:sz="4" w:space="0"/>
            </w:tcBorders>
            <w:shd w:val="clear" w:color="auto" w:fill="auto"/>
            <w:vAlign w:val="center"/>
          </w:tcPr>
          <w:p>
            <w:pPr>
              <w:jc w:val="left"/>
              <w:rPr>
                <w:rFonts w:ascii="宋体" w:hAnsi="宋体" w:eastAsia="宋体" w:cs="宋体"/>
                <w:color w:val="000000"/>
                <w:kern w:val="0"/>
                <w:sz w:val="22"/>
              </w:rPr>
            </w:pPr>
          </w:p>
        </w:tc>
        <w:tc>
          <w:tcPr>
            <w:tcW w:w="3701" w:type="dxa"/>
            <w:tcBorders>
              <w:bottom w:val="single" w:color="auto" w:sz="4" w:space="0"/>
            </w:tcBorders>
            <w:shd w:val="clear" w:color="auto" w:fill="auto"/>
            <w:vAlign w:val="center"/>
          </w:tcPr>
          <w:p>
            <w:pPr>
              <w:jc w:val="left"/>
              <w:rPr>
                <w:rFonts w:ascii="宋体" w:hAnsi="宋体" w:eastAsia="宋体" w:cs="宋体"/>
                <w:color w:val="000000"/>
                <w:kern w:val="0"/>
                <w:sz w:val="22"/>
              </w:rPr>
            </w:pPr>
          </w:p>
        </w:tc>
        <w:tc>
          <w:tcPr>
            <w:tcW w:w="2260" w:type="dxa"/>
            <w:tcBorders>
              <w:bottom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cs="宋体"/>
                <w:color w:val="000000"/>
                <w:kern w:val="0"/>
                <w:sz w:val="22"/>
                <w:szCs w:val="20"/>
                <w:lang w:bidi="hi-IN"/>
              </w:rPr>
              <w:t>单位：万元</w:t>
            </w:r>
          </w:p>
        </w:tc>
      </w:tr>
      <w:tr>
        <w:tblPrEx>
          <w:tblCellMar>
            <w:top w:w="0" w:type="dxa"/>
            <w:left w:w="108" w:type="dxa"/>
            <w:bottom w:w="0" w:type="dxa"/>
            <w:right w:w="108" w:type="dxa"/>
          </w:tblCellMar>
        </w:tblPrEx>
        <w:trPr>
          <w:trHeight w:val="465" w:hRule="atLeast"/>
          <w:jc w:val="center"/>
        </w:trPr>
        <w:tc>
          <w:tcPr>
            <w:tcW w:w="13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kern w:val="0"/>
                <w:sz w:val="24"/>
                <w:szCs w:val="24"/>
              </w:rPr>
            </w:pPr>
            <w:r>
              <w:rPr>
                <w:rFonts w:ascii="宋体" w:hAnsi="宋体" w:cs="宋体"/>
                <w:b/>
                <w:bCs/>
                <w:color w:val="000000"/>
                <w:kern w:val="0"/>
                <w:sz w:val="24"/>
                <w:szCs w:val="24"/>
                <w:lang w:bidi="hi-IN"/>
              </w:rPr>
              <w:t>部 门</w:t>
            </w: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kern w:val="0"/>
                <w:sz w:val="24"/>
                <w:szCs w:val="24"/>
              </w:rPr>
            </w:pPr>
            <w:r>
              <w:rPr>
                <w:rFonts w:ascii="宋体" w:hAnsi="宋体" w:cs="宋体"/>
                <w:b/>
                <w:bCs/>
                <w:color w:val="000000"/>
                <w:kern w:val="0"/>
                <w:sz w:val="24"/>
                <w:szCs w:val="24"/>
                <w:lang w:bidi="hi-IN"/>
              </w:rPr>
              <w:t>项 目 内 容</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bCs/>
                <w:color w:val="000000"/>
                <w:kern w:val="0"/>
                <w:sz w:val="24"/>
                <w:szCs w:val="24"/>
              </w:rPr>
            </w:pPr>
            <w:r>
              <w:rPr>
                <w:rFonts w:ascii="宋体" w:hAnsi="宋体" w:cs="宋体"/>
                <w:b/>
                <w:bCs/>
                <w:color w:val="000000"/>
                <w:kern w:val="0"/>
                <w:sz w:val="24"/>
                <w:szCs w:val="24"/>
                <w:lang w:bidi="hi-IN"/>
              </w:rPr>
              <w:t>预算调整金额</w:t>
            </w:r>
          </w:p>
        </w:tc>
      </w:tr>
      <w:tr>
        <w:tblPrEx>
          <w:tblCellMar>
            <w:top w:w="0" w:type="dxa"/>
            <w:left w:w="108" w:type="dxa"/>
            <w:bottom w:w="0" w:type="dxa"/>
            <w:right w:w="108" w:type="dxa"/>
          </w:tblCellMar>
        </w:tblPrEx>
        <w:trPr>
          <w:trHeight w:val="422" w:hRule="atLeast"/>
          <w:jc w:val="center"/>
        </w:trPr>
        <w:tc>
          <w:tcPr>
            <w:tcW w:w="13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2"/>
              </w:rPr>
            </w:pPr>
            <w:r>
              <w:rPr>
                <w:rFonts w:ascii="宋体" w:hAnsi="宋体" w:cs="宋体"/>
                <w:color w:val="000000"/>
                <w:kern w:val="0"/>
                <w:sz w:val="22"/>
                <w:szCs w:val="20"/>
                <w:lang w:bidi="hi-IN"/>
              </w:rPr>
              <w:t>科技部</w:t>
            </w: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kern w:val="0"/>
                <w:sz w:val="22"/>
              </w:rPr>
            </w:pPr>
            <w:r>
              <w:rPr>
                <w:rFonts w:ascii="宋体" w:hAnsi="宋体" w:cs="宋体"/>
                <w:color w:val="000000"/>
                <w:kern w:val="0"/>
                <w:sz w:val="22"/>
                <w:szCs w:val="20"/>
                <w:lang w:bidi="hi-IN"/>
              </w:rPr>
              <w:t>国家高新技术企业奖励资金</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eastAsia="宋体" w:cs="宋体"/>
                <w:color w:val="000000"/>
                <w:kern w:val="0"/>
                <w:sz w:val="22"/>
                <w:szCs w:val="20"/>
                <w:lang w:bidi="hi-IN"/>
              </w:rPr>
              <w:t>60.00</w:t>
            </w:r>
          </w:p>
        </w:tc>
      </w:tr>
      <w:tr>
        <w:tblPrEx>
          <w:tblCellMar>
            <w:top w:w="0" w:type="dxa"/>
            <w:left w:w="108" w:type="dxa"/>
            <w:bottom w:w="0" w:type="dxa"/>
            <w:right w:w="108" w:type="dxa"/>
          </w:tblCellMar>
        </w:tblPrEx>
        <w:trPr>
          <w:trHeight w:val="415" w:hRule="atLeast"/>
          <w:jc w:val="center"/>
        </w:trPr>
        <w:tc>
          <w:tcPr>
            <w:tcW w:w="137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kern w:val="0"/>
                <w:sz w:val="22"/>
              </w:rPr>
            </w:pP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kern w:val="0"/>
                <w:sz w:val="22"/>
              </w:rPr>
            </w:pPr>
            <w:r>
              <w:rPr>
                <w:rFonts w:ascii="宋体" w:hAnsi="宋体" w:cs="宋体"/>
                <w:color w:val="000000"/>
                <w:kern w:val="0"/>
                <w:sz w:val="22"/>
                <w:szCs w:val="20"/>
                <w:lang w:bidi="hi-IN"/>
              </w:rPr>
              <w:t>“双创计划”科技副总奖励资金</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eastAsia="宋体" w:cs="宋体"/>
                <w:color w:val="000000"/>
                <w:kern w:val="0"/>
                <w:sz w:val="22"/>
                <w:szCs w:val="20"/>
                <w:lang w:bidi="hi-IN"/>
              </w:rPr>
              <w:t>5.00</w:t>
            </w:r>
          </w:p>
        </w:tc>
      </w:tr>
      <w:tr>
        <w:tblPrEx>
          <w:tblCellMar>
            <w:top w:w="0" w:type="dxa"/>
            <w:left w:w="108" w:type="dxa"/>
            <w:bottom w:w="0" w:type="dxa"/>
            <w:right w:w="108" w:type="dxa"/>
          </w:tblCellMar>
        </w:tblPrEx>
        <w:trPr>
          <w:trHeight w:val="421" w:hRule="atLeast"/>
          <w:jc w:val="center"/>
        </w:trPr>
        <w:tc>
          <w:tcPr>
            <w:tcW w:w="13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kern w:val="0"/>
                <w:sz w:val="22"/>
              </w:rPr>
            </w:pPr>
            <w:r>
              <w:rPr>
                <w:rFonts w:ascii="宋体" w:hAnsi="宋体" w:cs="宋体"/>
                <w:color w:val="000000"/>
                <w:kern w:val="0"/>
                <w:sz w:val="22"/>
                <w:szCs w:val="20"/>
                <w:lang w:bidi="hi-IN"/>
              </w:rPr>
              <w:t>人社局</w:t>
            </w: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kern w:val="0"/>
                <w:sz w:val="22"/>
              </w:rPr>
            </w:pPr>
            <w:r>
              <w:rPr>
                <w:rFonts w:ascii="宋体" w:hAnsi="宋体" w:cs="宋体"/>
                <w:color w:val="000000"/>
                <w:kern w:val="0"/>
                <w:sz w:val="22"/>
                <w:szCs w:val="20"/>
                <w:lang w:bidi="hi-IN"/>
              </w:rPr>
              <w:t>“百校菁才”活动经费</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eastAsia="宋体" w:cs="宋体"/>
                <w:color w:val="000000"/>
                <w:kern w:val="0"/>
                <w:sz w:val="22"/>
                <w:szCs w:val="20"/>
                <w:lang w:bidi="hi-IN"/>
              </w:rPr>
              <w:t>40.00</w:t>
            </w:r>
          </w:p>
        </w:tc>
      </w:tr>
      <w:tr>
        <w:tblPrEx>
          <w:tblCellMar>
            <w:top w:w="0" w:type="dxa"/>
            <w:left w:w="108" w:type="dxa"/>
            <w:bottom w:w="0" w:type="dxa"/>
            <w:right w:w="108" w:type="dxa"/>
          </w:tblCellMar>
        </w:tblPrEx>
        <w:trPr>
          <w:trHeight w:val="735" w:hRule="atLeast"/>
          <w:jc w:val="center"/>
        </w:trPr>
        <w:tc>
          <w:tcPr>
            <w:tcW w:w="137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kern w:val="0"/>
                <w:sz w:val="22"/>
              </w:rPr>
            </w:pP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kern w:val="0"/>
                <w:sz w:val="22"/>
              </w:rPr>
            </w:pPr>
            <w:r>
              <w:rPr>
                <w:rFonts w:ascii="宋体" w:hAnsi="宋体" w:cs="宋体"/>
                <w:color w:val="000000"/>
                <w:kern w:val="0"/>
                <w:sz w:val="22"/>
                <w:szCs w:val="20"/>
                <w:lang w:bidi="hi-IN"/>
              </w:rPr>
              <w:t>精英人才</w:t>
            </w:r>
            <w:r>
              <w:rPr>
                <w:rFonts w:ascii="宋体" w:hAnsi="宋体" w:eastAsia="宋体" w:cs="宋体"/>
                <w:color w:val="000000"/>
                <w:kern w:val="0"/>
                <w:sz w:val="22"/>
                <w:szCs w:val="20"/>
                <w:lang w:bidi="hi-IN"/>
              </w:rPr>
              <w:t>131</w:t>
            </w:r>
            <w:r>
              <w:rPr>
                <w:rFonts w:ascii="宋体" w:hAnsi="宋体" w:cs="宋体"/>
                <w:color w:val="000000"/>
                <w:kern w:val="0"/>
                <w:sz w:val="22"/>
                <w:szCs w:val="20"/>
                <w:lang w:bidi="hi-IN"/>
              </w:rPr>
              <w:t>培养工程、高层次人才引进和服务、县级专业技术拔尖人才</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eastAsia="宋体" w:cs="宋体"/>
                <w:color w:val="000000"/>
                <w:kern w:val="0"/>
                <w:sz w:val="22"/>
                <w:szCs w:val="20"/>
                <w:lang w:bidi="hi-IN"/>
              </w:rPr>
              <w:t>171.14</w:t>
            </w:r>
          </w:p>
        </w:tc>
      </w:tr>
      <w:tr>
        <w:tblPrEx>
          <w:tblCellMar>
            <w:top w:w="0" w:type="dxa"/>
            <w:left w:w="108" w:type="dxa"/>
            <w:bottom w:w="0" w:type="dxa"/>
            <w:right w:w="108" w:type="dxa"/>
          </w:tblCellMar>
        </w:tblPrEx>
        <w:trPr>
          <w:trHeight w:val="1050" w:hRule="atLeast"/>
          <w:jc w:val="center"/>
        </w:trPr>
        <w:tc>
          <w:tcPr>
            <w:tcW w:w="137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kern w:val="0"/>
                <w:sz w:val="22"/>
              </w:rPr>
            </w:pP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kern w:val="0"/>
                <w:sz w:val="22"/>
              </w:rPr>
            </w:pPr>
            <w:r>
              <w:rPr>
                <w:rFonts w:ascii="宋体" w:hAnsi="宋体" w:cs="宋体"/>
                <w:color w:val="000000"/>
                <w:kern w:val="0"/>
                <w:sz w:val="22"/>
                <w:szCs w:val="20"/>
                <w:lang w:bidi="hi-IN"/>
              </w:rPr>
              <w:t>人才创新创业大赛“创响灌云</w:t>
            </w:r>
            <w:r>
              <w:rPr>
                <w:rFonts w:ascii="宋体" w:hAnsi="宋体" w:eastAsia="宋体" w:cs="宋体"/>
                <w:color w:val="000000"/>
                <w:kern w:val="0"/>
                <w:sz w:val="22"/>
                <w:szCs w:val="20"/>
                <w:lang w:bidi="hi-IN"/>
              </w:rPr>
              <w:t>.</w:t>
            </w:r>
            <w:r>
              <w:rPr>
                <w:rFonts w:ascii="宋体" w:hAnsi="宋体" w:cs="宋体"/>
                <w:color w:val="000000"/>
                <w:kern w:val="0"/>
                <w:sz w:val="22"/>
                <w:szCs w:val="20"/>
                <w:lang w:bidi="hi-IN"/>
              </w:rPr>
              <w:t>群英汇”孵化组五个获奖项目的奖金及奖牌制作费用</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eastAsia="宋体" w:cs="宋体"/>
                <w:color w:val="000000"/>
                <w:kern w:val="0"/>
                <w:sz w:val="22"/>
                <w:szCs w:val="20"/>
                <w:lang w:bidi="hi-IN"/>
              </w:rPr>
              <w:t>20.00</w:t>
            </w:r>
          </w:p>
        </w:tc>
      </w:tr>
      <w:tr>
        <w:tblPrEx>
          <w:tblCellMar>
            <w:top w:w="0" w:type="dxa"/>
            <w:left w:w="108" w:type="dxa"/>
            <w:bottom w:w="0" w:type="dxa"/>
            <w:right w:w="108" w:type="dxa"/>
          </w:tblCellMar>
        </w:tblPrEx>
        <w:trPr>
          <w:trHeight w:val="539" w:hRule="atLeast"/>
          <w:jc w:val="center"/>
        </w:trPr>
        <w:tc>
          <w:tcPr>
            <w:tcW w:w="137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kern w:val="0"/>
                <w:sz w:val="22"/>
              </w:rPr>
            </w:pPr>
          </w:p>
        </w:tc>
        <w:tc>
          <w:tcPr>
            <w:tcW w:w="3701"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kern w:val="0"/>
                <w:sz w:val="22"/>
              </w:rPr>
            </w:pPr>
            <w:r>
              <w:rPr>
                <w:rFonts w:ascii="宋体" w:hAnsi="宋体" w:cs="宋体"/>
                <w:color w:val="000000"/>
                <w:kern w:val="0"/>
                <w:sz w:val="22"/>
                <w:szCs w:val="20"/>
                <w:lang w:bidi="hi-IN"/>
              </w:rPr>
              <w:t>第二届人才创新创业大赛活动经费及部分落地项目奖金发放</w:t>
            </w:r>
          </w:p>
        </w:tc>
        <w:tc>
          <w:tcPr>
            <w:tcW w:w="2260"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宋体" w:hAnsi="宋体" w:eastAsia="宋体" w:cs="宋体"/>
                <w:color w:val="000000"/>
                <w:kern w:val="0"/>
                <w:sz w:val="22"/>
              </w:rPr>
            </w:pPr>
            <w:r>
              <w:rPr>
                <w:rFonts w:ascii="宋体" w:hAnsi="宋体" w:eastAsia="宋体" w:cs="宋体"/>
                <w:color w:val="000000"/>
                <w:kern w:val="0"/>
                <w:sz w:val="22"/>
                <w:szCs w:val="20"/>
                <w:lang w:bidi="hi-IN"/>
              </w:rPr>
              <w:t>70.00</w:t>
            </w:r>
          </w:p>
        </w:tc>
      </w:tr>
      <w:tr>
        <w:tblPrEx>
          <w:tblCellMar>
            <w:top w:w="0" w:type="dxa"/>
            <w:left w:w="108" w:type="dxa"/>
            <w:bottom w:w="0" w:type="dxa"/>
            <w:right w:w="108" w:type="dxa"/>
          </w:tblCellMar>
        </w:tblPrEx>
        <w:trPr>
          <w:trHeight w:val="377" w:hRule="atLeast"/>
          <w:jc w:val="center"/>
        </w:trPr>
        <w:tc>
          <w:tcPr>
            <w:tcW w:w="508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000000"/>
                <w:kern w:val="0"/>
                <w:sz w:val="22"/>
              </w:rPr>
            </w:pPr>
            <w:r>
              <w:rPr>
                <w:rFonts w:ascii="宋体" w:hAnsi="宋体" w:cs="宋体"/>
                <w:b/>
                <w:color w:val="000000"/>
                <w:kern w:val="0"/>
                <w:sz w:val="22"/>
                <w:szCs w:val="20"/>
                <w:lang w:bidi="hi-IN"/>
              </w:rPr>
              <w:t>合计</w:t>
            </w:r>
          </w:p>
        </w:tc>
        <w:tc>
          <w:tcPr>
            <w:tcW w:w="2260" w:type="dxa"/>
            <w:tcBorders>
              <w:top w:val="single" w:color="auto" w:sz="4" w:space="0"/>
              <w:bottom w:val="single" w:color="000000" w:sz="4" w:space="0"/>
              <w:right w:val="single" w:color="000000" w:sz="4" w:space="0"/>
            </w:tcBorders>
            <w:shd w:val="clear" w:color="auto" w:fill="auto"/>
            <w:vAlign w:val="center"/>
          </w:tcPr>
          <w:p>
            <w:pPr>
              <w:jc w:val="right"/>
              <w:rPr>
                <w:rFonts w:ascii="宋体" w:hAnsi="宋体" w:eastAsia="宋体" w:cs="宋体"/>
                <w:b/>
                <w:color w:val="000000"/>
                <w:kern w:val="0"/>
                <w:sz w:val="22"/>
              </w:rPr>
            </w:pPr>
            <w:r>
              <w:rPr>
                <w:rFonts w:ascii="宋体" w:hAnsi="宋体" w:eastAsia="宋体" w:cs="宋体"/>
                <w:b/>
                <w:color w:val="000000"/>
                <w:kern w:val="0"/>
                <w:sz w:val="22"/>
                <w:szCs w:val="20"/>
                <w:lang w:bidi="hi-IN"/>
              </w:rPr>
              <w:t>366.14</w:t>
            </w:r>
          </w:p>
        </w:tc>
      </w:tr>
    </w:tbl>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35" w:name="_Toc49613847"/>
      <w:bookmarkStart w:id="36" w:name="_Toc30765"/>
      <w:r>
        <w:rPr>
          <w:rFonts w:hint="eastAsia" w:ascii="方正楷体_GBK" w:hAnsi="方正楷体_GBK" w:eastAsia="方正楷体_GBK" w:cs="方正楷体_GBK"/>
          <w:bCs/>
          <w:color w:val="auto"/>
          <w:kern w:val="2"/>
          <w:sz w:val="32"/>
          <w:szCs w:val="32"/>
          <w:shd w:val="clear" w:color="auto" w:fill="FFFFFF"/>
        </w:rPr>
        <w:t>（四）资金使用</w:t>
      </w:r>
      <w:bookmarkEnd w:id="35"/>
      <w:r>
        <w:rPr>
          <w:rFonts w:hint="eastAsia" w:ascii="方正楷体_GBK" w:hAnsi="方正楷体_GBK" w:eastAsia="方正楷体_GBK" w:cs="方正楷体_GBK"/>
          <w:bCs/>
          <w:color w:val="auto"/>
          <w:kern w:val="2"/>
          <w:sz w:val="32"/>
          <w:szCs w:val="32"/>
          <w:shd w:val="clear" w:color="auto" w:fill="FFFFFF"/>
        </w:rPr>
        <w:t>情况</w:t>
      </w:r>
      <w:bookmarkEnd w:id="36"/>
    </w:p>
    <w:p>
      <w:pPr>
        <w:suppressAutoHyphens w:val="0"/>
        <w:autoSpaceDE/>
        <w:autoSpaceDN/>
        <w:spacing w:line="570" w:lineRule="exact"/>
        <w:ind w:firstLine="640" w:firstLineChars="200"/>
        <w:jc w:val="left"/>
        <w:rPr>
          <w:rFonts w:hint="eastAsia" w:ascii="仿宋" w:hAnsi="仿宋" w:eastAsia="仿宋" w:cs="仿宋"/>
          <w:bCs/>
          <w:color w:val="auto"/>
          <w:kern w:val="2"/>
          <w:sz w:val="32"/>
          <w:szCs w:val="32"/>
        </w:rPr>
      </w:pPr>
      <w:r>
        <w:rPr>
          <w:rFonts w:hint="eastAsia" w:ascii="仿宋" w:hAnsi="仿宋" w:eastAsia="仿宋" w:cs="仿宋"/>
          <w:bCs/>
          <w:color w:val="auto"/>
          <w:sz w:val="32"/>
          <w:szCs w:val="32"/>
        </w:rPr>
        <w:t>2019年人才专项使用资金838.12万元，</w:t>
      </w:r>
      <w:r>
        <w:rPr>
          <w:rFonts w:hint="eastAsia" w:ascii="仿宋" w:hAnsi="仿宋" w:eastAsia="仿宋" w:cs="仿宋"/>
          <w:bCs/>
          <w:color w:val="auto"/>
          <w:kern w:val="2"/>
          <w:sz w:val="32"/>
          <w:szCs w:val="32"/>
        </w:rPr>
        <w:t>其中：人才办使用263.11万元，科技局使用228.9万元，人社局使用346.11万元。</w:t>
      </w:r>
      <w:r>
        <w:rPr>
          <w:rFonts w:hint="eastAsia" w:ascii="仿宋" w:hAnsi="仿宋" w:eastAsia="仿宋" w:cs="仿宋"/>
          <w:bCs/>
          <w:color w:val="auto"/>
          <w:sz w:val="32"/>
          <w:szCs w:val="32"/>
        </w:rPr>
        <w:t>合计838.12万元，加上上年结转691.22万元，人才专项资金使用率为49.56%。</w:t>
      </w:r>
      <w:r>
        <w:rPr>
          <w:rFonts w:hint="eastAsia" w:ascii="仿宋" w:hAnsi="仿宋" w:eastAsia="仿宋" w:cs="仿宋"/>
          <w:bCs/>
          <w:color w:val="auto"/>
          <w:kern w:val="2"/>
          <w:sz w:val="32"/>
          <w:szCs w:val="32"/>
        </w:rPr>
        <w:t>主要支出如下：</w:t>
      </w:r>
    </w:p>
    <w:tbl>
      <w:tblPr>
        <w:tblStyle w:val="14"/>
        <w:tblW w:w="7938" w:type="dxa"/>
        <w:jc w:val="center"/>
        <w:tblLayout w:type="fixed"/>
        <w:tblCellMar>
          <w:top w:w="0" w:type="dxa"/>
          <w:left w:w="108" w:type="dxa"/>
          <w:bottom w:w="0" w:type="dxa"/>
          <w:right w:w="108" w:type="dxa"/>
        </w:tblCellMar>
      </w:tblPr>
      <w:tblGrid>
        <w:gridCol w:w="1276"/>
        <w:gridCol w:w="5528"/>
        <w:gridCol w:w="1134"/>
      </w:tblGrid>
      <w:tr>
        <w:tblPrEx>
          <w:tblCellMar>
            <w:top w:w="0" w:type="dxa"/>
            <w:left w:w="108" w:type="dxa"/>
            <w:bottom w:w="0" w:type="dxa"/>
            <w:right w:w="108" w:type="dxa"/>
          </w:tblCellMar>
        </w:tblPrEx>
        <w:trPr>
          <w:trHeight w:val="404" w:hRule="atLeast"/>
          <w:jc w:val="center"/>
        </w:trPr>
        <w:tc>
          <w:tcPr>
            <w:tcW w:w="7938" w:type="dxa"/>
            <w:gridSpan w:val="3"/>
            <w:shd w:val="clear" w:color="000000" w:fill="FFFFFF"/>
            <w:vAlign w:val="center"/>
          </w:tcPr>
          <w:p>
            <w:pPr>
              <w:jc w:val="center"/>
              <w:rPr>
                <w:rFonts w:ascii="宋体" w:hAnsi="宋体" w:eastAsia="宋体" w:cs="宋体"/>
                <w:b/>
                <w:kern w:val="0"/>
                <w:sz w:val="24"/>
                <w:szCs w:val="24"/>
              </w:rPr>
            </w:pPr>
            <w:r>
              <w:rPr>
                <w:rFonts w:ascii="宋体" w:hAnsi="宋体" w:cs="宋体"/>
                <w:b/>
                <w:kern w:val="0"/>
                <w:sz w:val="24"/>
                <w:szCs w:val="24"/>
                <w:lang w:bidi="hi-IN"/>
              </w:rPr>
              <w:t>灌云县</w:t>
            </w:r>
            <w:r>
              <w:rPr>
                <w:rFonts w:ascii="宋体" w:hAnsi="宋体" w:eastAsia="宋体" w:cs="宋体"/>
                <w:b/>
                <w:kern w:val="0"/>
                <w:sz w:val="24"/>
                <w:szCs w:val="24"/>
                <w:lang w:bidi="hi-IN"/>
              </w:rPr>
              <w:t>2019</w:t>
            </w:r>
            <w:r>
              <w:rPr>
                <w:rFonts w:ascii="宋体" w:hAnsi="宋体" w:cs="宋体"/>
                <w:b/>
                <w:kern w:val="0"/>
                <w:sz w:val="24"/>
                <w:szCs w:val="24"/>
                <w:lang w:bidi="hi-IN"/>
              </w:rPr>
              <w:t>年度人才专项资金使用明细表</w:t>
            </w:r>
          </w:p>
        </w:tc>
      </w:tr>
      <w:tr>
        <w:tblPrEx>
          <w:tblCellMar>
            <w:top w:w="0" w:type="dxa"/>
            <w:left w:w="108" w:type="dxa"/>
            <w:bottom w:w="0" w:type="dxa"/>
            <w:right w:w="108" w:type="dxa"/>
          </w:tblCellMar>
        </w:tblPrEx>
        <w:trPr>
          <w:trHeight w:val="270" w:hRule="atLeast"/>
          <w:jc w:val="center"/>
        </w:trPr>
        <w:tc>
          <w:tcPr>
            <w:tcW w:w="1276" w:type="dxa"/>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　</w:t>
            </w:r>
          </w:p>
        </w:tc>
        <w:tc>
          <w:tcPr>
            <w:tcW w:w="6662" w:type="dxa"/>
            <w:gridSpan w:val="2"/>
            <w:shd w:val="clear" w:color="000000" w:fill="FFFFFF"/>
            <w:vAlign w:val="center"/>
          </w:tcPr>
          <w:p>
            <w:pPr>
              <w:jc w:val="right"/>
              <w:rPr>
                <w:rFonts w:ascii="宋体" w:hAnsi="宋体" w:eastAsia="宋体" w:cs="宋体"/>
                <w:kern w:val="0"/>
                <w:sz w:val="22"/>
              </w:rPr>
            </w:pPr>
            <w:r>
              <w:rPr>
                <w:rFonts w:ascii="宋体" w:hAnsi="宋体" w:cs="宋体"/>
                <w:kern w:val="0"/>
                <w:sz w:val="22"/>
                <w:szCs w:val="20"/>
                <w:lang w:bidi="hi-IN"/>
              </w:rPr>
              <w:t>　单位</w:t>
            </w:r>
            <w:r>
              <w:rPr>
                <w:rFonts w:ascii="宋体" w:hAnsi="宋体" w:eastAsia="宋体" w:cs="宋体"/>
                <w:kern w:val="0"/>
                <w:sz w:val="22"/>
                <w:szCs w:val="20"/>
                <w:lang w:bidi="hi-IN"/>
              </w:rPr>
              <w:t>:</w:t>
            </w:r>
            <w:r>
              <w:rPr>
                <w:rFonts w:ascii="宋体" w:hAnsi="宋体" w:cs="宋体"/>
                <w:kern w:val="0"/>
                <w:sz w:val="22"/>
                <w:szCs w:val="20"/>
                <w:lang w:bidi="hi-IN"/>
              </w:rPr>
              <w:t>万元</w:t>
            </w:r>
          </w:p>
        </w:tc>
      </w:tr>
      <w:tr>
        <w:tblPrEx>
          <w:tblCellMar>
            <w:top w:w="0" w:type="dxa"/>
            <w:left w:w="108" w:type="dxa"/>
            <w:bottom w:w="0" w:type="dxa"/>
            <w:right w:w="108" w:type="dxa"/>
          </w:tblCellMar>
        </w:tblPrEx>
        <w:trPr>
          <w:trHeight w:val="270" w:hRule="atLeast"/>
          <w:jc w:val="center"/>
        </w:trPr>
        <w:tc>
          <w:tcPr>
            <w:tcW w:w="1276" w:type="dxa"/>
            <w:tcBorders>
              <w:top w:val="single" w:color="000000" w:sz="4" w:space="0"/>
              <w:left w:val="single" w:color="000000" w:sz="4" w:space="0"/>
              <w:bottom w:val="single" w:color="auto" w:sz="4" w:space="0"/>
              <w:right w:val="single" w:color="000000" w:sz="4" w:space="0"/>
            </w:tcBorders>
            <w:shd w:val="clear" w:color="000000" w:fill="FFFFFF"/>
            <w:vAlign w:val="center"/>
          </w:tcPr>
          <w:p>
            <w:pPr>
              <w:jc w:val="center"/>
              <w:rPr>
                <w:rFonts w:ascii="宋体" w:hAnsi="宋体" w:eastAsia="宋体" w:cs="宋体"/>
                <w:b/>
                <w:bCs/>
                <w:kern w:val="0"/>
                <w:sz w:val="22"/>
              </w:rPr>
            </w:pPr>
            <w:r>
              <w:rPr>
                <w:rFonts w:ascii="宋体" w:hAnsi="宋体" w:cs="宋体"/>
                <w:b/>
                <w:bCs/>
                <w:kern w:val="0"/>
                <w:sz w:val="22"/>
                <w:szCs w:val="20"/>
                <w:lang w:bidi="hi-IN"/>
              </w:rPr>
              <w:t>部 门</w:t>
            </w:r>
          </w:p>
        </w:tc>
        <w:tc>
          <w:tcPr>
            <w:tcW w:w="5528" w:type="dxa"/>
            <w:tcBorders>
              <w:top w:val="single" w:color="000000" w:sz="4" w:space="0"/>
              <w:bottom w:val="single" w:color="auto" w:sz="4" w:space="0"/>
              <w:right w:val="single" w:color="000000" w:sz="4" w:space="0"/>
            </w:tcBorders>
            <w:shd w:val="clear" w:color="000000" w:fill="FFFFFF"/>
            <w:vAlign w:val="center"/>
          </w:tcPr>
          <w:p>
            <w:pPr>
              <w:jc w:val="center"/>
              <w:rPr>
                <w:rFonts w:ascii="宋体" w:hAnsi="宋体" w:eastAsia="宋体" w:cs="宋体"/>
                <w:b/>
                <w:bCs/>
                <w:kern w:val="0"/>
                <w:sz w:val="22"/>
              </w:rPr>
            </w:pPr>
            <w:r>
              <w:rPr>
                <w:rFonts w:ascii="宋体" w:hAnsi="宋体" w:cs="宋体"/>
                <w:b/>
                <w:bCs/>
                <w:kern w:val="0"/>
                <w:sz w:val="22"/>
                <w:szCs w:val="20"/>
                <w:lang w:bidi="hi-IN"/>
              </w:rPr>
              <w:t>项 目 内 容</w:t>
            </w:r>
          </w:p>
        </w:tc>
        <w:tc>
          <w:tcPr>
            <w:tcW w:w="1134" w:type="dxa"/>
            <w:tcBorders>
              <w:top w:val="single" w:color="000000" w:sz="4" w:space="0"/>
              <w:bottom w:val="single" w:color="auto" w:sz="4" w:space="0"/>
              <w:right w:val="single" w:color="000000" w:sz="4" w:space="0"/>
            </w:tcBorders>
            <w:shd w:val="clear" w:color="000000" w:fill="FFFFFF"/>
            <w:vAlign w:val="center"/>
          </w:tcPr>
          <w:p>
            <w:pPr>
              <w:jc w:val="center"/>
              <w:rPr>
                <w:rFonts w:ascii="宋体" w:hAnsi="宋体" w:eastAsia="宋体" w:cs="宋体"/>
                <w:b/>
                <w:bCs/>
                <w:kern w:val="0"/>
                <w:sz w:val="22"/>
              </w:rPr>
            </w:pPr>
            <w:r>
              <w:rPr>
                <w:rFonts w:ascii="宋体" w:hAnsi="宋体" w:cs="宋体"/>
                <w:b/>
                <w:bCs/>
                <w:kern w:val="0"/>
                <w:sz w:val="22"/>
                <w:szCs w:val="20"/>
                <w:lang w:bidi="hi-IN"/>
              </w:rPr>
              <w:t>金 额</w:t>
            </w:r>
          </w:p>
        </w:tc>
      </w:tr>
      <w:tr>
        <w:tblPrEx>
          <w:tblCellMar>
            <w:top w:w="0" w:type="dxa"/>
            <w:left w:w="108" w:type="dxa"/>
            <w:bottom w:w="0" w:type="dxa"/>
            <w:right w:w="108" w:type="dxa"/>
          </w:tblCellMar>
        </w:tblPrEx>
        <w:trPr>
          <w:trHeight w:val="270" w:hRule="atLeast"/>
          <w:jc w:val="center"/>
        </w:trPr>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eastAsia="宋体" w:cs="宋体"/>
                <w:kern w:val="0"/>
                <w:sz w:val="22"/>
              </w:rPr>
            </w:pPr>
            <w:r>
              <w:rPr>
                <w:rFonts w:ascii="宋体" w:hAnsi="宋体" w:cs="宋体"/>
                <w:kern w:val="0"/>
                <w:sz w:val="22"/>
                <w:szCs w:val="20"/>
                <w:lang w:bidi="hi-IN"/>
              </w:rPr>
              <w:t>科技局</w:t>
            </w: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院士工作站</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省级众创空间</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市级工程技术研究中心</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市级科技副总</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知识产权优势企业</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9.00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知识产权贯标并绩效评价合格</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3.00</w:t>
            </w:r>
          </w:p>
        </w:tc>
      </w:tr>
      <w:tr>
        <w:tblPrEx>
          <w:tblCellMar>
            <w:top w:w="0" w:type="dxa"/>
            <w:left w:w="108" w:type="dxa"/>
            <w:bottom w:w="0" w:type="dxa"/>
            <w:right w:w="108" w:type="dxa"/>
          </w:tblCellMar>
        </w:tblPrEx>
        <w:trPr>
          <w:trHeight w:val="272"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２０１８年授权专利</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67.90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专利大户</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4.00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国家高新技术企业奖励</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60.00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小计</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228.90</w:t>
            </w:r>
          </w:p>
        </w:tc>
      </w:tr>
      <w:tr>
        <w:tblPrEx>
          <w:tblCellMar>
            <w:top w:w="0" w:type="dxa"/>
            <w:left w:w="108" w:type="dxa"/>
            <w:bottom w:w="0" w:type="dxa"/>
            <w:right w:w="108" w:type="dxa"/>
          </w:tblCellMar>
        </w:tblPrEx>
        <w:trPr>
          <w:trHeight w:val="270" w:hRule="atLeast"/>
          <w:jc w:val="center"/>
        </w:trPr>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eastAsia="宋体" w:cs="宋体"/>
                <w:kern w:val="0"/>
                <w:sz w:val="22"/>
              </w:rPr>
            </w:pPr>
            <w:r>
              <w:rPr>
                <w:rFonts w:ascii="宋体" w:hAnsi="宋体" w:cs="宋体"/>
                <w:kern w:val="0"/>
                <w:sz w:val="22"/>
                <w:szCs w:val="20"/>
                <w:lang w:bidi="hi-IN"/>
              </w:rPr>
              <w:t>人社局</w:t>
            </w: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１３１人才</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14.40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高层次人才８１人</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131.70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拔尖人才１３人</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13.00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百校菁才</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65.00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首届创业大赛成长组奖金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首届创业大赛孵化组奖金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19.42</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第二届人才创新创业组大赛奖金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第二届人才创新创新组大赛奖金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创响灌云群英汇评审费用</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7.35</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创意大赛连云港初赛赛前辅导班培训费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0.20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创业大赛</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0.09</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大赛产生的费用</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24.95</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小计</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346.11</w:t>
            </w:r>
          </w:p>
        </w:tc>
      </w:tr>
      <w:tr>
        <w:tblPrEx>
          <w:tblCellMar>
            <w:top w:w="0" w:type="dxa"/>
            <w:left w:w="108" w:type="dxa"/>
            <w:bottom w:w="0" w:type="dxa"/>
            <w:right w:w="108" w:type="dxa"/>
          </w:tblCellMar>
        </w:tblPrEx>
        <w:trPr>
          <w:trHeight w:val="270" w:hRule="atLeast"/>
          <w:jc w:val="center"/>
        </w:trPr>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eastAsia="宋体" w:cs="宋体"/>
                <w:kern w:val="0"/>
                <w:sz w:val="22"/>
              </w:rPr>
            </w:pPr>
            <w:r>
              <w:rPr>
                <w:rFonts w:ascii="宋体" w:hAnsi="宋体" w:cs="宋体"/>
                <w:kern w:val="0"/>
                <w:sz w:val="22"/>
                <w:szCs w:val="20"/>
                <w:lang w:bidi="hi-IN"/>
              </w:rPr>
              <w:t>人才办</w:t>
            </w: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北京大学灌云县高层次人才国情研修班费用</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31.33</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灌云“双招双引”（南京）推介暨创业大赛费用</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7.78</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２０１８高层次人才体检费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39.38</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２０１９高层次人才体检费用</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38.31</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青岛兰德经济管理培训学校</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17.70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突出贡献人才奖证书制作费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0.51</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人才活动租车费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0.53</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“金凤还巢哺家乡”活动餐费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1.42</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接待东海县委组织部考察团工作餐费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0.20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人才引进专项资金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5.77</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人才引进支出</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8.16</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人才引进专项资金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0.10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人才引进专项资金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1.56</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人才引进专项资金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人才引进专项资金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0.36</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b/>
                <w:kern w:val="0"/>
                <w:sz w:val="22"/>
              </w:rPr>
            </w:pPr>
            <w:r>
              <w:rPr>
                <w:rFonts w:ascii="宋体" w:hAnsi="宋体" w:cs="宋体"/>
                <w:b/>
                <w:kern w:val="0"/>
                <w:sz w:val="22"/>
                <w:szCs w:val="20"/>
                <w:lang w:bidi="hi-IN"/>
              </w:rPr>
              <w:t>小计</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163.11</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市双创倪群</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２０１７年度乡土人才创业明星引进计划专项资金</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第三届突出贡献人才奖</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30.00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２０１８年市双创卓智勇</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25.00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kern w:val="0"/>
                <w:sz w:val="22"/>
              </w:rPr>
            </w:pPr>
            <w:r>
              <w:rPr>
                <w:rFonts w:ascii="宋体" w:hAnsi="宋体" w:cs="宋体"/>
                <w:kern w:val="0"/>
                <w:sz w:val="22"/>
                <w:szCs w:val="20"/>
                <w:lang w:bidi="hi-IN"/>
              </w:rPr>
              <w:t>２０１６省双创人才何飞</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15.00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b/>
                <w:kern w:val="0"/>
                <w:sz w:val="22"/>
              </w:rPr>
            </w:pPr>
            <w:r>
              <w:rPr>
                <w:rFonts w:ascii="宋体" w:hAnsi="宋体" w:cs="宋体"/>
                <w:b/>
                <w:kern w:val="0"/>
                <w:sz w:val="22"/>
                <w:szCs w:val="20"/>
                <w:lang w:bidi="hi-IN"/>
              </w:rPr>
              <w:t>小计</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100.00</w:t>
            </w:r>
          </w:p>
        </w:tc>
      </w:tr>
      <w:tr>
        <w:tblPrEx>
          <w:tblCellMar>
            <w:top w:w="0" w:type="dxa"/>
            <w:left w:w="108" w:type="dxa"/>
            <w:bottom w:w="0" w:type="dxa"/>
            <w:right w:w="108" w:type="dxa"/>
          </w:tblCellMar>
        </w:tblPrEx>
        <w:trPr>
          <w:trHeight w:val="270"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kern w:val="0"/>
                <w:sz w:val="22"/>
              </w:rPr>
            </w:pPr>
          </w:p>
        </w:tc>
        <w:tc>
          <w:tcPr>
            <w:tcW w:w="5528" w:type="dxa"/>
            <w:tcBorders>
              <w:top w:val="single" w:color="auto" w:sz="4" w:space="0"/>
              <w:left w:val="single" w:color="auto" w:sz="4" w:space="0"/>
              <w:bottom w:val="single" w:color="auto" w:sz="4" w:space="0"/>
              <w:right w:val="single" w:color="auto" w:sz="4" w:space="0"/>
            </w:tcBorders>
            <w:shd w:val="clear" w:color="000000" w:fill="FFFFFF"/>
            <w:vAlign w:val="center"/>
          </w:tcPr>
          <w:p>
            <w:pPr>
              <w:jc w:val="left"/>
              <w:rPr>
                <w:rFonts w:ascii="宋体" w:hAnsi="宋体" w:eastAsia="宋体" w:cs="宋体"/>
                <w:b/>
                <w:kern w:val="0"/>
                <w:sz w:val="22"/>
              </w:rPr>
            </w:pPr>
            <w:r>
              <w:rPr>
                <w:rFonts w:ascii="宋体" w:hAnsi="宋体" w:cs="宋体"/>
                <w:b/>
                <w:kern w:val="0"/>
                <w:sz w:val="22"/>
                <w:szCs w:val="20"/>
                <w:lang w:bidi="hi-IN"/>
              </w:rPr>
              <w:t>合计</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263.11</w:t>
            </w:r>
          </w:p>
        </w:tc>
      </w:tr>
      <w:tr>
        <w:tblPrEx>
          <w:tblCellMar>
            <w:top w:w="0" w:type="dxa"/>
            <w:left w:w="108" w:type="dxa"/>
            <w:bottom w:w="0" w:type="dxa"/>
            <w:right w:w="108" w:type="dxa"/>
          </w:tblCellMar>
        </w:tblPrEx>
        <w:trPr>
          <w:trHeight w:val="270" w:hRule="atLeast"/>
          <w:jc w:val="center"/>
        </w:trPr>
        <w:tc>
          <w:tcPr>
            <w:tcW w:w="6804" w:type="dxa"/>
            <w:gridSpan w:val="2"/>
            <w:tcBorders>
              <w:top w:val="single" w:color="auto" w:sz="4" w:space="0"/>
              <w:left w:val="single" w:color="000000" w:sz="4" w:space="0"/>
              <w:bottom w:val="single" w:color="000000" w:sz="4" w:space="0"/>
              <w:right w:val="single" w:color="000000" w:sz="4" w:space="0"/>
            </w:tcBorders>
            <w:shd w:val="clear" w:color="000000" w:fill="FFFFFF"/>
            <w:vAlign w:val="center"/>
          </w:tcPr>
          <w:p>
            <w:pPr>
              <w:jc w:val="center"/>
              <w:rPr>
                <w:rFonts w:ascii="宋体" w:hAnsi="宋体" w:eastAsia="宋体" w:cs="宋体"/>
                <w:b/>
                <w:bCs/>
                <w:kern w:val="0"/>
                <w:sz w:val="22"/>
              </w:rPr>
            </w:pPr>
            <w:r>
              <w:rPr>
                <w:rFonts w:ascii="宋体" w:hAnsi="宋体" w:cs="宋体"/>
                <w:b/>
                <w:bCs/>
                <w:kern w:val="0"/>
                <w:sz w:val="22"/>
                <w:szCs w:val="20"/>
                <w:lang w:bidi="hi-IN"/>
              </w:rPr>
              <w:t>总   计</w:t>
            </w:r>
          </w:p>
        </w:tc>
        <w:tc>
          <w:tcPr>
            <w:tcW w:w="1134" w:type="dxa"/>
            <w:tcBorders>
              <w:top w:val="single" w:color="auto" w:sz="4" w:space="0"/>
              <w:bottom w:val="single" w:color="000000" w:sz="4" w:space="0"/>
              <w:right w:val="single" w:color="000000" w:sz="4" w:space="0"/>
            </w:tcBorders>
            <w:shd w:val="clear" w:color="000000" w:fill="FFFFFF"/>
            <w:vAlign w:val="center"/>
          </w:tcPr>
          <w:p>
            <w:pPr>
              <w:jc w:val="right"/>
              <w:rPr>
                <w:rFonts w:ascii="宋体" w:hAnsi="宋体" w:eastAsia="宋体" w:cs="宋体"/>
                <w:kern w:val="0"/>
                <w:sz w:val="22"/>
              </w:rPr>
            </w:pPr>
            <w:r>
              <w:rPr>
                <w:rFonts w:ascii="宋体" w:hAnsi="宋体" w:eastAsia="宋体" w:cs="宋体"/>
                <w:kern w:val="0"/>
                <w:sz w:val="22"/>
                <w:szCs w:val="20"/>
                <w:lang w:bidi="hi-IN"/>
              </w:rPr>
              <w:t>838.12</w:t>
            </w:r>
          </w:p>
        </w:tc>
      </w:tr>
    </w:tbl>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37" w:name="_Toc723"/>
      <w:bookmarkStart w:id="38" w:name="_Toc49613848"/>
      <w:r>
        <w:rPr>
          <w:rFonts w:hint="eastAsia" w:ascii="方正楷体_GBK" w:hAnsi="方正楷体_GBK" w:eastAsia="方正楷体_GBK" w:cs="方正楷体_GBK"/>
          <w:bCs/>
          <w:color w:val="auto"/>
          <w:kern w:val="2"/>
          <w:sz w:val="32"/>
          <w:szCs w:val="32"/>
          <w:shd w:val="clear" w:color="auto" w:fill="FFFFFF"/>
        </w:rPr>
        <w:t>（五）</w:t>
      </w:r>
      <w:r>
        <w:rPr>
          <w:rFonts w:hint="eastAsia" w:ascii="方正楷体_GBK" w:hAnsi="方正楷体_GBK" w:eastAsia="方正楷体_GBK" w:cs="方正楷体_GBK"/>
          <w:bCs/>
          <w:color w:val="auto"/>
          <w:kern w:val="2"/>
          <w:sz w:val="32"/>
          <w:szCs w:val="32"/>
        </w:rPr>
        <w:t>绩效目标</w:t>
      </w:r>
      <w:bookmarkEnd w:id="37"/>
      <w:bookmarkEnd w:id="38"/>
    </w:p>
    <w:p>
      <w:pPr>
        <w:suppressAutoHyphens w:val="0"/>
        <w:spacing w:before="0" w:after="0" w:line="570" w:lineRule="exact"/>
        <w:ind w:firstLine="640" w:firstLineChars="200"/>
        <w:jc w:val="left"/>
        <w:rPr>
          <w:rFonts w:hint="eastAsia" w:ascii="仿宋" w:hAnsi="仿宋" w:eastAsia="仿宋" w:cs="仿宋"/>
          <w:bCs/>
          <w:color w:val="auto"/>
          <w:kern w:val="2"/>
          <w:sz w:val="32"/>
          <w:szCs w:val="32"/>
          <w:shd w:val="clear" w:color="auto" w:fill="FFFFFF"/>
        </w:rPr>
      </w:pPr>
      <w:bookmarkStart w:id="39" w:name="_Toc49613849"/>
      <w:r>
        <w:rPr>
          <w:rFonts w:hint="eastAsia" w:ascii="仿宋" w:hAnsi="仿宋" w:eastAsia="仿宋" w:cs="仿宋"/>
          <w:bCs/>
          <w:color w:val="auto"/>
          <w:kern w:val="2"/>
          <w:sz w:val="32"/>
          <w:szCs w:val="32"/>
          <w:shd w:val="clear" w:color="auto" w:fill="FFFFFF"/>
        </w:rPr>
        <w:t>1.总体</w:t>
      </w:r>
      <w:r>
        <w:rPr>
          <w:rFonts w:hint="eastAsia" w:ascii="仿宋" w:hAnsi="仿宋" w:eastAsia="仿宋" w:cs="仿宋"/>
          <w:bCs/>
          <w:color w:val="auto"/>
          <w:kern w:val="2"/>
          <w:sz w:val="32"/>
          <w:szCs w:val="32"/>
        </w:rPr>
        <w:t>绩效目标</w:t>
      </w:r>
      <w:bookmarkEnd w:id="39"/>
    </w:p>
    <w:p>
      <w:pPr>
        <w:suppressAutoHyphens w:val="0"/>
        <w:autoSpaceDE/>
        <w:autoSpaceDN/>
        <w:spacing w:line="570" w:lineRule="exact"/>
        <w:ind w:firstLine="640" w:firstLineChars="200"/>
        <w:jc w:val="left"/>
        <w:rPr>
          <w:rFonts w:hint="eastAsia" w:ascii="仿宋" w:hAnsi="仿宋" w:eastAsia="仿宋" w:cs="仿宋"/>
          <w:bCs/>
          <w:color w:val="auto"/>
          <w:sz w:val="32"/>
          <w:szCs w:val="32"/>
        </w:rPr>
      </w:pPr>
      <w:bookmarkStart w:id="40" w:name="_Toc49613850"/>
      <w:r>
        <w:rPr>
          <w:rFonts w:hint="eastAsia" w:ascii="仿宋" w:hAnsi="仿宋" w:eastAsia="仿宋" w:cs="仿宋"/>
          <w:bCs/>
          <w:color w:val="auto"/>
          <w:sz w:val="32"/>
          <w:szCs w:val="32"/>
        </w:rPr>
        <w:t>切实执行好相关人才政策，为灌云县“高质发展、后发先至”提供有力的人才与智力支持。</w:t>
      </w:r>
    </w:p>
    <w:p>
      <w:pPr>
        <w:suppressAutoHyphens w:val="0"/>
        <w:spacing w:before="0" w:after="0" w:line="570" w:lineRule="exact"/>
        <w:ind w:firstLine="640" w:firstLineChars="200"/>
        <w:jc w:val="left"/>
        <w:rPr>
          <w:rFonts w:hint="eastAsia" w:ascii="仿宋" w:hAnsi="仿宋" w:eastAsia="仿宋" w:cs="仿宋"/>
          <w:bCs/>
          <w:color w:val="auto"/>
          <w:kern w:val="2"/>
          <w:sz w:val="32"/>
          <w:szCs w:val="32"/>
          <w:shd w:val="clear" w:color="auto" w:fill="FFFFFF"/>
        </w:rPr>
      </w:pPr>
      <w:r>
        <w:rPr>
          <w:rFonts w:hint="eastAsia" w:ascii="仿宋" w:hAnsi="仿宋" w:eastAsia="仿宋" w:cs="仿宋"/>
          <w:bCs/>
          <w:color w:val="auto"/>
          <w:kern w:val="2"/>
          <w:sz w:val="32"/>
          <w:szCs w:val="32"/>
          <w:shd w:val="clear" w:color="auto" w:fill="FFFFFF"/>
        </w:rPr>
        <w:t>2.年度绩效目标</w:t>
      </w:r>
      <w:bookmarkEnd w:id="40"/>
    </w:p>
    <w:p>
      <w:pPr>
        <w:suppressAutoHyphens w:val="0"/>
        <w:spacing w:line="57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灌云县人才专</w:t>
      </w:r>
      <w:bookmarkStart w:id="79" w:name="_GoBack"/>
      <w:bookmarkEnd w:id="79"/>
      <w:r>
        <w:rPr>
          <w:rFonts w:hint="eastAsia" w:ascii="仿宋" w:hAnsi="仿宋" w:eastAsia="仿宋" w:cs="仿宋"/>
          <w:bCs/>
          <w:color w:val="auto"/>
          <w:sz w:val="32"/>
          <w:szCs w:val="32"/>
        </w:rPr>
        <w:t>项资金2019年度绩效目标如下：</w:t>
      </w:r>
    </w:p>
    <w:p>
      <w:pPr>
        <w:suppressAutoHyphens w:val="0"/>
        <w:autoSpaceDE/>
        <w:autoSpaceDN/>
        <w:spacing w:line="57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（1）经济效益：三年引进人才、项目带来经济效益≥1000万</w:t>
      </w:r>
    </w:p>
    <w:p>
      <w:pPr>
        <w:suppressAutoHyphens w:val="0"/>
        <w:autoSpaceDE/>
        <w:autoSpaceDN/>
        <w:spacing w:line="570" w:lineRule="exact"/>
        <w:ind w:firstLine="640" w:firstLineChars="200"/>
        <w:jc w:val="left"/>
        <w:rPr>
          <w:rFonts w:hint="eastAsia" w:ascii="仿宋" w:hAnsi="仿宋" w:eastAsia="仿宋" w:cs="仿宋"/>
          <w:bCs/>
          <w:color w:val="auto"/>
          <w:sz w:val="32"/>
          <w:szCs w:val="32"/>
        </w:rPr>
      </w:pPr>
      <w:r>
        <w:rPr>
          <w:rFonts w:hint="eastAsia" w:ascii="仿宋" w:hAnsi="仿宋" w:eastAsia="仿宋" w:cs="仿宋"/>
          <w:bCs/>
          <w:color w:val="auto"/>
          <w:sz w:val="32"/>
          <w:szCs w:val="32"/>
        </w:rPr>
        <w:t>（2）社会效益：三年人才保有率达到50%，人才政策社会知晓率达到100%，B类及以上媒体新闻宣传篇数≥2篇，C类及以上媒体新闻宣传篇数≥10篇；</w:t>
      </w:r>
      <w:r>
        <w:rPr>
          <w:rFonts w:hint="eastAsia" w:ascii="仿宋" w:hAnsi="仿宋" w:eastAsia="仿宋" w:cs="仿宋"/>
          <w:bCs/>
          <w:color w:val="auto"/>
          <w:sz w:val="32"/>
          <w:szCs w:val="32"/>
        </w:rPr>
        <w:br w:type="textWrapping"/>
      </w:r>
      <w:r>
        <w:rPr>
          <w:rFonts w:hint="eastAsia" w:ascii="仿宋" w:hAnsi="仿宋" w:eastAsia="仿宋" w:cs="仿宋"/>
          <w:bCs/>
          <w:color w:val="auto"/>
          <w:sz w:val="32"/>
          <w:szCs w:val="32"/>
        </w:rPr>
        <w:t xml:space="preserve">    （3）满意度：人才满意度、用人单位满意度、社会公众满意度分别达到90%以上。</w:t>
      </w:r>
    </w:p>
    <w:p>
      <w:pPr>
        <w:autoSpaceDE w:val="0"/>
        <w:autoSpaceDN w:val="0"/>
        <w:spacing w:line="360" w:lineRule="auto"/>
        <w:jc w:val="center"/>
        <w:outlineLvl w:val="1"/>
        <w:rPr>
          <w:rFonts w:ascii="方正仿宋_GBK" w:hAnsi="方正仿宋_GBK" w:eastAsia="方正仿宋_GBK"/>
          <w:sz w:val="28"/>
          <w:szCs w:val="28"/>
        </w:rPr>
      </w:pPr>
      <w:bookmarkStart w:id="41" w:name="_Toc28083"/>
      <w:r>
        <w:rPr>
          <w:rFonts w:ascii="方正仿宋_GBK" w:hAnsi="方正仿宋_GBK" w:eastAsia="方正仿宋_GBK"/>
          <w:sz w:val="28"/>
          <w:szCs w:val="28"/>
        </w:rPr>
        <w:t>年度绩效目标详细情况见下表：</w:t>
      </w:r>
      <w:bookmarkEnd w:id="41"/>
    </w:p>
    <w:tbl>
      <w:tblPr>
        <w:tblStyle w:val="14"/>
        <w:tblW w:w="8662" w:type="dxa"/>
        <w:jc w:val="center"/>
        <w:tblLayout w:type="fixed"/>
        <w:tblCellMar>
          <w:top w:w="0" w:type="dxa"/>
          <w:left w:w="108" w:type="dxa"/>
          <w:bottom w:w="0" w:type="dxa"/>
          <w:right w:w="108" w:type="dxa"/>
        </w:tblCellMar>
      </w:tblPr>
      <w:tblGrid>
        <w:gridCol w:w="2278"/>
        <w:gridCol w:w="1147"/>
        <w:gridCol w:w="3403"/>
        <w:gridCol w:w="1834"/>
      </w:tblGrid>
      <w:tr>
        <w:tblPrEx>
          <w:tblCellMar>
            <w:top w:w="0" w:type="dxa"/>
            <w:left w:w="108" w:type="dxa"/>
            <w:bottom w:w="0" w:type="dxa"/>
            <w:right w:w="108" w:type="dxa"/>
          </w:tblCellMar>
        </w:tblPrEx>
        <w:trPr>
          <w:trHeight w:val="57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绩效目标名称</w:t>
            </w:r>
          </w:p>
        </w:tc>
        <w:tc>
          <w:tcPr>
            <w:tcW w:w="1147"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目标值</w:t>
            </w:r>
          </w:p>
        </w:tc>
        <w:tc>
          <w:tcPr>
            <w:tcW w:w="3403"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绩效目标名称</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目标值</w:t>
            </w:r>
          </w:p>
        </w:tc>
      </w:tr>
      <w:tr>
        <w:tblPrEx>
          <w:tblCellMar>
            <w:top w:w="0" w:type="dxa"/>
            <w:left w:w="108" w:type="dxa"/>
            <w:bottom w:w="0" w:type="dxa"/>
            <w:right w:w="108" w:type="dxa"/>
          </w:tblCellMar>
        </w:tblPrEx>
        <w:trPr>
          <w:trHeight w:val="57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1"/>
              </w:numPr>
              <w:jc w:val="center"/>
              <w:rPr>
                <w:rFonts w:ascii="方正仿宋_GBK" w:hAnsi="方正仿宋_GBK" w:eastAsia="方正仿宋_GBK" w:cs="宋体"/>
                <w:b/>
                <w:bCs/>
                <w:color w:val="000000"/>
                <w:kern w:val="0"/>
                <w:sz w:val="24"/>
                <w:szCs w:val="24"/>
                <w:lang w:bidi="hi-IN"/>
              </w:rPr>
            </w:pPr>
            <w:r>
              <w:rPr>
                <w:rFonts w:ascii="方正仿宋_GBK" w:hAnsi="方正仿宋_GBK" w:eastAsia="方正仿宋_GBK" w:cs="宋体"/>
                <w:b/>
                <w:bCs/>
                <w:color w:val="000000"/>
                <w:kern w:val="0"/>
                <w:sz w:val="24"/>
                <w:szCs w:val="24"/>
                <w:lang w:bidi="hi-IN"/>
              </w:rPr>
              <w:t>投入与管理</w:t>
            </w:r>
          </w:p>
          <w:p>
            <w:pPr>
              <w:numPr>
                <w:numId w:val="0"/>
              </w:num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目标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培训创业人才</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1000名</w:t>
            </w:r>
          </w:p>
        </w:tc>
      </w:tr>
      <w:tr>
        <w:tblPrEx>
          <w:tblCellMar>
            <w:top w:w="0" w:type="dxa"/>
            <w:left w:w="108" w:type="dxa"/>
            <w:bottom w:w="0" w:type="dxa"/>
            <w:right w:w="108" w:type="dxa"/>
          </w:tblCellMar>
        </w:tblPrEx>
        <w:trPr>
          <w:trHeight w:val="49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预算资金到位情况</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kern w:val="0"/>
                <w:sz w:val="24"/>
                <w:szCs w:val="24"/>
                <w:highlight w:val="red"/>
              </w:rPr>
            </w:pPr>
            <w:r>
              <w:rPr>
                <w:rFonts w:ascii="方正仿宋_GBK" w:hAnsi="方正仿宋_GBK" w:eastAsia="方正仿宋_GBK" w:cs="Times New Roman"/>
                <w:kern w:val="0"/>
                <w:sz w:val="24"/>
                <w:szCs w:val="24"/>
                <w:lang w:bidi="hi-IN"/>
              </w:rPr>
              <w:t>100%</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发放灌云通金银卡智能卡</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≥1500张</w:t>
            </w:r>
          </w:p>
        </w:tc>
      </w:tr>
      <w:tr>
        <w:tblPrEx>
          <w:tblCellMar>
            <w:top w:w="0" w:type="dxa"/>
            <w:left w:w="108" w:type="dxa"/>
            <w:bottom w:w="0" w:type="dxa"/>
            <w:right w:w="108" w:type="dxa"/>
          </w:tblCellMar>
        </w:tblPrEx>
        <w:trPr>
          <w:trHeight w:val="46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预算编制合理性</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合理</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组织高层次人才体检</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≥800人次</w:t>
            </w:r>
          </w:p>
        </w:tc>
      </w:tr>
      <w:tr>
        <w:tblPrEx>
          <w:tblCellMar>
            <w:top w:w="0" w:type="dxa"/>
            <w:left w:w="108" w:type="dxa"/>
            <w:bottom w:w="0" w:type="dxa"/>
            <w:right w:w="108" w:type="dxa"/>
          </w:tblCellMar>
        </w:tblPrEx>
        <w:trPr>
          <w:trHeight w:val="45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资金使用率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100%</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组织高精尖人才休假疗养</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1次</w:t>
            </w:r>
          </w:p>
        </w:tc>
      </w:tr>
      <w:tr>
        <w:tblPrEx>
          <w:tblCellMar>
            <w:top w:w="0" w:type="dxa"/>
            <w:left w:w="108" w:type="dxa"/>
            <w:bottom w:w="0" w:type="dxa"/>
            <w:right w:w="108" w:type="dxa"/>
          </w:tblCellMar>
        </w:tblPrEx>
        <w:trPr>
          <w:trHeight w:val="43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预算执行率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100%</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举办交友、联谊活动</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10场</w:t>
            </w:r>
          </w:p>
        </w:tc>
      </w:tr>
      <w:tr>
        <w:tblPrEx>
          <w:tblCellMar>
            <w:top w:w="0" w:type="dxa"/>
            <w:left w:w="108" w:type="dxa"/>
            <w:bottom w:w="0" w:type="dxa"/>
            <w:right w:w="108" w:type="dxa"/>
          </w:tblCellMar>
        </w:tblPrEx>
        <w:trPr>
          <w:trHeight w:val="36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财务监控有效性</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有效</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慰问人才</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10名</w:t>
            </w:r>
          </w:p>
        </w:tc>
      </w:tr>
      <w:tr>
        <w:tblPrEx>
          <w:tblCellMar>
            <w:top w:w="0" w:type="dxa"/>
            <w:left w:w="108" w:type="dxa"/>
            <w:bottom w:w="0" w:type="dxa"/>
            <w:right w:w="108" w:type="dxa"/>
          </w:tblCellMar>
        </w:tblPrEx>
        <w:trPr>
          <w:trHeight w:val="31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资金使用情况</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合规</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申报市级以上载体平台</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≥2家</w:t>
            </w:r>
          </w:p>
        </w:tc>
      </w:tr>
      <w:tr>
        <w:tblPrEx>
          <w:tblCellMar>
            <w:top w:w="0" w:type="dxa"/>
            <w:left w:w="108" w:type="dxa"/>
            <w:bottom w:w="0" w:type="dxa"/>
            <w:right w:w="108" w:type="dxa"/>
          </w:tblCellMar>
        </w:tblPrEx>
        <w:trPr>
          <w:trHeight w:val="31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财务制度健全性</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健全</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创建乡土人才创业示范基地</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100家</w:t>
            </w:r>
          </w:p>
        </w:tc>
      </w:tr>
      <w:tr>
        <w:tblPrEx>
          <w:tblCellMar>
            <w:top w:w="0" w:type="dxa"/>
            <w:left w:w="108" w:type="dxa"/>
            <w:bottom w:w="0" w:type="dxa"/>
            <w:right w:w="108" w:type="dxa"/>
          </w:tblCellMar>
        </w:tblPrEx>
        <w:trPr>
          <w:trHeight w:val="57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管理制度健全性</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健全</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创建乡土人才技艺传承基地</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10家</w:t>
            </w:r>
          </w:p>
        </w:tc>
      </w:tr>
      <w:tr>
        <w:tblPrEx>
          <w:tblCellMar>
            <w:top w:w="0" w:type="dxa"/>
            <w:left w:w="108" w:type="dxa"/>
            <w:bottom w:w="0" w:type="dxa"/>
            <w:right w:w="108" w:type="dxa"/>
          </w:tblCellMar>
        </w:tblPrEx>
        <w:trPr>
          <w:trHeight w:val="570" w:hRule="atLeast"/>
          <w:jc w:val="center"/>
        </w:trPr>
        <w:tc>
          <w:tcPr>
            <w:tcW w:w="2278" w:type="dxa"/>
            <w:tcBorders>
              <w:top w:val="single" w:color="000000" w:sz="4" w:space="0"/>
              <w:left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管理制度执行</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有效</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创建乡土人才大师工作室</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5家</w:t>
            </w:r>
          </w:p>
        </w:tc>
      </w:tr>
      <w:tr>
        <w:tblPrEx>
          <w:tblCellMar>
            <w:top w:w="0" w:type="dxa"/>
            <w:left w:w="108" w:type="dxa"/>
            <w:bottom w:w="0" w:type="dxa"/>
            <w:right w:w="108" w:type="dxa"/>
          </w:tblCellMar>
        </w:tblPrEx>
        <w:trPr>
          <w:trHeight w:val="31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二、产出目标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建立“灌才高校联络站”</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10家</w:t>
            </w:r>
          </w:p>
        </w:tc>
      </w:tr>
      <w:tr>
        <w:tblPrEx>
          <w:tblCellMar>
            <w:top w:w="0" w:type="dxa"/>
            <w:left w:w="108" w:type="dxa"/>
            <w:bottom w:w="0" w:type="dxa"/>
            <w:right w:w="108" w:type="dxa"/>
          </w:tblCellMar>
        </w:tblPrEx>
        <w:trPr>
          <w:trHeight w:val="45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引进高层次人才</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50</w:t>
            </w:r>
            <w:r>
              <w:rPr>
                <w:rFonts w:ascii="方正仿宋_GBK" w:hAnsi="方正仿宋_GBK" w:eastAsia="方正仿宋_GBK" w:cs="宋体"/>
                <w:color w:val="000000"/>
                <w:kern w:val="0"/>
                <w:sz w:val="24"/>
                <w:szCs w:val="24"/>
                <w:lang w:bidi="hi-IN"/>
              </w:rPr>
              <w:t>名</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“返乡创业人才乡情驿站”</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10家</w:t>
            </w:r>
          </w:p>
        </w:tc>
      </w:tr>
      <w:tr>
        <w:tblPrEx>
          <w:tblCellMar>
            <w:top w:w="0" w:type="dxa"/>
            <w:left w:w="108" w:type="dxa"/>
            <w:bottom w:w="0" w:type="dxa"/>
            <w:right w:w="108" w:type="dxa"/>
          </w:tblCellMar>
        </w:tblPrEx>
        <w:trPr>
          <w:trHeight w:val="39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引进大专及以上学历人才</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1800</w:t>
            </w:r>
            <w:r>
              <w:rPr>
                <w:rFonts w:ascii="方正仿宋_GBK" w:hAnsi="方正仿宋_GBK" w:eastAsia="方正仿宋_GBK" w:cs="宋体"/>
                <w:color w:val="000000"/>
                <w:kern w:val="0"/>
                <w:sz w:val="24"/>
                <w:szCs w:val="24"/>
                <w:lang w:bidi="hi-IN"/>
              </w:rPr>
              <w:t>名</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三、效果目标</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　</w:t>
            </w:r>
          </w:p>
        </w:tc>
      </w:tr>
      <w:tr>
        <w:tblPrEx>
          <w:tblCellMar>
            <w:top w:w="0" w:type="dxa"/>
            <w:left w:w="108" w:type="dxa"/>
            <w:bottom w:w="0" w:type="dxa"/>
            <w:right w:w="108" w:type="dxa"/>
          </w:tblCellMar>
        </w:tblPrEx>
        <w:trPr>
          <w:trHeight w:val="55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引进高层次创业人才</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6名</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三年引进人才、项目带来经济效益</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1000</w:t>
            </w:r>
            <w:r>
              <w:rPr>
                <w:rFonts w:ascii="方正仿宋_GBK" w:hAnsi="方正仿宋_GBK" w:eastAsia="方正仿宋_GBK" w:cs="宋体"/>
                <w:color w:val="000000"/>
                <w:kern w:val="0"/>
                <w:sz w:val="24"/>
                <w:szCs w:val="24"/>
                <w:lang w:bidi="hi-IN"/>
              </w:rPr>
              <w:t>万元</w:t>
            </w:r>
          </w:p>
        </w:tc>
      </w:tr>
      <w:tr>
        <w:tblPrEx>
          <w:tblCellMar>
            <w:top w:w="0" w:type="dxa"/>
            <w:left w:w="108" w:type="dxa"/>
            <w:bottom w:w="0" w:type="dxa"/>
            <w:right w:w="108" w:type="dxa"/>
          </w:tblCellMar>
        </w:tblPrEx>
        <w:trPr>
          <w:trHeight w:val="48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举办灌云人才集市、科技鹊桥会等人才招引活动</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20场</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市级及以上媒体宣传篇数</w:t>
            </w:r>
          </w:p>
        </w:tc>
        <w:tc>
          <w:tcPr>
            <w:tcW w:w="1834" w:type="dxa"/>
            <w:tcBorders>
              <w:bottom w:val="single" w:color="000000" w:sz="4" w:space="0"/>
              <w:right w:val="single" w:color="000000" w:sz="4" w:space="0"/>
            </w:tcBorders>
            <w:vAlign w:val="center"/>
          </w:tcPr>
          <w:p>
            <w:pPr>
              <w:jc w:val="center"/>
              <w:rPr>
                <w:rFonts w:hint="eastAsia" w:ascii="方正仿宋_GBK" w:hAnsi="方正仿宋_GBK" w:eastAsia="方正仿宋_GBK" w:cs="宋体"/>
                <w:color w:val="000000"/>
                <w:kern w:val="0"/>
                <w:sz w:val="24"/>
                <w:szCs w:val="24"/>
                <w:lang w:val="en-US" w:eastAsia="zh-CN"/>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20</w:t>
            </w:r>
            <w:r>
              <w:rPr>
                <w:rFonts w:hint="eastAsia" w:ascii="方正仿宋_GBK" w:hAnsi="方正仿宋_GBK" w:eastAsia="方正仿宋_GBK" w:cs="Times New Roman"/>
                <w:color w:val="000000"/>
                <w:kern w:val="0"/>
                <w:sz w:val="24"/>
                <w:szCs w:val="24"/>
                <w:lang w:val="en-US" w:eastAsia="zh-CN" w:bidi="hi-IN"/>
              </w:rPr>
              <w:t>场</w:t>
            </w:r>
          </w:p>
        </w:tc>
      </w:tr>
      <w:tr>
        <w:tblPrEx>
          <w:tblCellMar>
            <w:top w:w="0" w:type="dxa"/>
            <w:left w:w="108" w:type="dxa"/>
            <w:bottom w:w="0" w:type="dxa"/>
            <w:right w:w="108" w:type="dxa"/>
          </w:tblCellMar>
        </w:tblPrEx>
        <w:trPr>
          <w:trHeight w:val="435"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申报省“双创人才”</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2</w:t>
            </w:r>
            <w:r>
              <w:rPr>
                <w:rFonts w:ascii="方正仿宋_GBK" w:hAnsi="方正仿宋_GBK" w:eastAsia="方正仿宋_GBK" w:cs="宋体"/>
                <w:color w:val="000000"/>
                <w:kern w:val="0"/>
                <w:sz w:val="24"/>
                <w:szCs w:val="24"/>
                <w:lang w:bidi="hi-IN"/>
              </w:rPr>
              <w:t>名</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人才政策知晓率</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20</w:t>
            </w:r>
            <w:r>
              <w:rPr>
                <w:rFonts w:ascii="方正仿宋_GBK" w:hAnsi="方正仿宋_GBK" w:eastAsia="方正仿宋_GBK" w:cs="宋体"/>
                <w:color w:val="000000"/>
                <w:kern w:val="0"/>
                <w:sz w:val="24"/>
                <w:szCs w:val="24"/>
                <w:lang w:bidi="hi-IN"/>
              </w:rPr>
              <w:t>篇</w:t>
            </w:r>
          </w:p>
        </w:tc>
      </w:tr>
      <w:tr>
        <w:tblPrEx>
          <w:tblCellMar>
            <w:top w:w="0" w:type="dxa"/>
            <w:left w:w="108" w:type="dxa"/>
            <w:bottom w:w="0" w:type="dxa"/>
            <w:right w:w="108" w:type="dxa"/>
          </w:tblCellMar>
        </w:tblPrEx>
        <w:trPr>
          <w:trHeight w:val="42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申报市“双创人才”</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ascii="方正仿宋_GBK" w:hAnsi="方正仿宋_GBK" w:eastAsia="方正仿宋_GBK" w:cs="Times New Roman"/>
                <w:color w:val="000000"/>
                <w:kern w:val="0"/>
                <w:sz w:val="24"/>
                <w:szCs w:val="24"/>
                <w:lang w:bidi="hi-IN"/>
              </w:rPr>
              <w:t>2</w:t>
            </w:r>
            <w:r>
              <w:rPr>
                <w:rFonts w:ascii="方正仿宋_GBK" w:hAnsi="方正仿宋_GBK" w:eastAsia="方正仿宋_GBK" w:cs="宋体"/>
                <w:color w:val="000000"/>
                <w:kern w:val="0"/>
                <w:sz w:val="24"/>
                <w:szCs w:val="24"/>
                <w:lang w:bidi="hi-IN"/>
              </w:rPr>
              <w:t>名</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三年人才保有率</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≥50%</w:t>
            </w:r>
          </w:p>
        </w:tc>
      </w:tr>
      <w:tr>
        <w:tblPrEx>
          <w:tblCellMar>
            <w:top w:w="0" w:type="dxa"/>
            <w:left w:w="108" w:type="dxa"/>
            <w:bottom w:w="0" w:type="dxa"/>
            <w:right w:w="108" w:type="dxa"/>
          </w:tblCellMar>
        </w:tblPrEx>
        <w:trPr>
          <w:trHeight w:val="42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举办创业大赛</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Times New Roman"/>
                <w:color w:val="000000"/>
                <w:kern w:val="0"/>
                <w:sz w:val="24"/>
                <w:szCs w:val="24"/>
                <w:lang w:bidi="hi-IN"/>
              </w:rPr>
              <w:t>2场</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人才满意度</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宋体"/>
                <w:color w:val="000000"/>
                <w:kern w:val="0"/>
                <w:sz w:val="24"/>
                <w:szCs w:val="24"/>
                <w:lang w:bidi="hi-IN"/>
              </w:rPr>
              <w:t>≥</w:t>
            </w:r>
            <w:r>
              <w:rPr>
                <w:rFonts w:hint="eastAsia" w:ascii="方正仿宋_GBK" w:hAnsi="方正仿宋_GBK" w:eastAsia="方正仿宋_GBK" w:cs="宋体"/>
                <w:color w:val="000000"/>
                <w:kern w:val="0"/>
                <w:sz w:val="24"/>
                <w:szCs w:val="24"/>
                <w:lang w:bidi="hi-IN"/>
              </w:rPr>
              <w:t>90</w:t>
            </w:r>
            <w:r>
              <w:rPr>
                <w:rFonts w:ascii="方正仿宋_GBK" w:hAnsi="方正仿宋_GBK" w:eastAsia="方正仿宋_GBK" w:cs="宋体"/>
                <w:color w:val="000000"/>
                <w:kern w:val="0"/>
                <w:sz w:val="24"/>
                <w:szCs w:val="24"/>
                <w:lang w:bidi="hi-IN"/>
              </w:rPr>
              <w:t>%</w:t>
            </w:r>
          </w:p>
        </w:tc>
      </w:tr>
      <w:tr>
        <w:tblPrEx>
          <w:tblCellMar>
            <w:top w:w="0" w:type="dxa"/>
            <w:left w:w="108" w:type="dxa"/>
            <w:bottom w:w="0" w:type="dxa"/>
            <w:right w:w="108" w:type="dxa"/>
          </w:tblCellMar>
        </w:tblPrEx>
        <w:trPr>
          <w:trHeight w:val="42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举办专题培训班</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5场</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用人单位满意度</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hint="eastAsia" w:ascii="方正仿宋_GBK" w:hAnsi="方正仿宋_GBK" w:eastAsia="方正仿宋_GBK" w:cs="Times New Roman"/>
                <w:color w:val="000000"/>
                <w:kern w:val="0"/>
                <w:sz w:val="24"/>
                <w:szCs w:val="24"/>
                <w:lang w:bidi="hi-IN"/>
              </w:rPr>
              <w:t>9</w:t>
            </w:r>
            <w:r>
              <w:rPr>
                <w:rFonts w:ascii="方正仿宋_GBK" w:hAnsi="方正仿宋_GBK" w:eastAsia="方正仿宋_GBK" w:cs="Times New Roman"/>
                <w:color w:val="000000"/>
                <w:kern w:val="0"/>
                <w:sz w:val="24"/>
                <w:szCs w:val="24"/>
                <w:lang w:bidi="hi-IN"/>
              </w:rPr>
              <w:t>0%</w:t>
            </w:r>
          </w:p>
        </w:tc>
      </w:tr>
      <w:tr>
        <w:tblPrEx>
          <w:tblCellMar>
            <w:top w:w="0" w:type="dxa"/>
            <w:left w:w="108" w:type="dxa"/>
            <w:bottom w:w="0" w:type="dxa"/>
            <w:right w:w="108" w:type="dxa"/>
          </w:tblCellMar>
        </w:tblPrEx>
        <w:trPr>
          <w:trHeight w:val="51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举办行业技能培训、讲座、论坛等活动</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50场</w:t>
            </w:r>
          </w:p>
        </w:tc>
        <w:tc>
          <w:tcPr>
            <w:tcW w:w="3403" w:type="dxa"/>
            <w:tcBorders>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社会公众满意度</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w:t>
            </w:r>
            <w:r>
              <w:rPr>
                <w:rFonts w:hint="eastAsia" w:ascii="方正仿宋_GBK" w:hAnsi="方正仿宋_GBK" w:eastAsia="方正仿宋_GBK" w:cs="Times New Roman"/>
                <w:color w:val="000000"/>
                <w:kern w:val="0"/>
                <w:sz w:val="24"/>
                <w:szCs w:val="24"/>
                <w:lang w:bidi="hi-IN"/>
              </w:rPr>
              <w:t>9</w:t>
            </w:r>
            <w:r>
              <w:rPr>
                <w:rFonts w:ascii="方正仿宋_GBK" w:hAnsi="方正仿宋_GBK" w:eastAsia="方正仿宋_GBK" w:cs="Times New Roman"/>
                <w:color w:val="000000"/>
                <w:kern w:val="0"/>
                <w:sz w:val="24"/>
                <w:szCs w:val="24"/>
                <w:lang w:bidi="hi-IN"/>
              </w:rPr>
              <w:t>0%</w:t>
            </w:r>
          </w:p>
        </w:tc>
      </w:tr>
      <w:tr>
        <w:tblPrEx>
          <w:tblCellMar>
            <w:top w:w="0" w:type="dxa"/>
            <w:left w:w="108" w:type="dxa"/>
            <w:bottom w:w="0" w:type="dxa"/>
            <w:right w:w="108" w:type="dxa"/>
          </w:tblCellMar>
        </w:tblPrEx>
        <w:trPr>
          <w:trHeight w:val="51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方正仿宋_GBK" w:hAnsi="方正仿宋_GBK" w:eastAsia="方正仿宋_GBK" w:cs="宋体"/>
                <w:color w:val="000000"/>
                <w:kern w:val="0"/>
                <w:sz w:val="24"/>
                <w:szCs w:val="24"/>
                <w:lang w:eastAsia="zh-CN"/>
              </w:rPr>
            </w:pPr>
            <w:r>
              <w:rPr>
                <w:rFonts w:ascii="方正仿宋_GBK" w:hAnsi="方正仿宋_GBK" w:eastAsia="方正仿宋_GBK" w:cs="宋体"/>
                <w:color w:val="000000"/>
                <w:kern w:val="0"/>
                <w:sz w:val="24"/>
                <w:szCs w:val="24"/>
                <w:lang w:bidi="hi-IN"/>
              </w:rPr>
              <w:t>选拔出“县级专业技术拔尖人才</w:t>
            </w:r>
            <w:r>
              <w:rPr>
                <w:rFonts w:hint="eastAsia" w:ascii="方正仿宋_GBK" w:hAnsi="方正仿宋_GBK" w:eastAsia="方正仿宋_GBK" w:cs="宋体"/>
                <w:color w:val="000000"/>
                <w:kern w:val="0"/>
                <w:sz w:val="24"/>
                <w:szCs w:val="24"/>
                <w:lang w:eastAsia="zh-CN" w:bidi="hi-IN"/>
              </w:rPr>
              <w:t>”</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20名</w:t>
            </w:r>
          </w:p>
        </w:tc>
        <w:tc>
          <w:tcPr>
            <w:tcW w:w="3403" w:type="dxa"/>
            <w:tcBorders>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b/>
                <w:bCs/>
                <w:color w:val="000000"/>
                <w:kern w:val="0"/>
                <w:sz w:val="24"/>
                <w:szCs w:val="24"/>
              </w:rPr>
            </w:pPr>
            <w:r>
              <w:rPr>
                <w:rFonts w:ascii="方正仿宋_GBK" w:hAnsi="方正仿宋_GBK" w:eastAsia="方正仿宋_GBK" w:cs="宋体"/>
                <w:b/>
                <w:bCs/>
                <w:color w:val="000000"/>
                <w:kern w:val="0"/>
                <w:sz w:val="24"/>
                <w:szCs w:val="24"/>
                <w:lang w:bidi="hi-IN"/>
              </w:rPr>
              <w:t>四、影响力目标</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　</w:t>
            </w:r>
          </w:p>
        </w:tc>
      </w:tr>
      <w:tr>
        <w:tblPrEx>
          <w:tblCellMar>
            <w:top w:w="0" w:type="dxa"/>
            <w:left w:w="108" w:type="dxa"/>
            <w:bottom w:w="0" w:type="dxa"/>
            <w:right w:w="108" w:type="dxa"/>
          </w:tblCellMar>
        </w:tblPrEx>
        <w:trPr>
          <w:trHeight w:val="30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选拔出“精英人才</w:t>
            </w:r>
            <w:r>
              <w:rPr>
                <w:rFonts w:ascii="方正仿宋_GBK" w:hAnsi="方正仿宋_GBK" w:eastAsia="方正仿宋_GBK" w:cs="Times New Roman"/>
                <w:color w:val="000000"/>
                <w:kern w:val="0"/>
                <w:sz w:val="24"/>
                <w:szCs w:val="24"/>
                <w:lang w:bidi="hi-IN"/>
              </w:rPr>
              <w:t>131</w:t>
            </w:r>
            <w:r>
              <w:rPr>
                <w:rFonts w:ascii="方正仿宋_GBK" w:hAnsi="方正仿宋_GBK" w:eastAsia="方正仿宋_GBK" w:cs="宋体"/>
                <w:color w:val="000000"/>
                <w:kern w:val="0"/>
                <w:sz w:val="24"/>
                <w:szCs w:val="24"/>
                <w:lang w:bidi="hi-IN"/>
              </w:rPr>
              <w:t>工程”培养对象</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33名</w:t>
            </w: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宣传情况</w:t>
            </w:r>
          </w:p>
        </w:tc>
        <w:tc>
          <w:tcPr>
            <w:tcW w:w="1834" w:type="dxa"/>
            <w:tcBorders>
              <w:top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到位</w:t>
            </w:r>
          </w:p>
        </w:tc>
      </w:tr>
      <w:tr>
        <w:tblPrEx>
          <w:tblCellMar>
            <w:top w:w="0" w:type="dxa"/>
            <w:left w:w="108" w:type="dxa"/>
            <w:bottom w:w="0" w:type="dxa"/>
            <w:right w:w="108" w:type="dxa"/>
          </w:tblCellMar>
        </w:tblPrEx>
        <w:trPr>
          <w:trHeight w:val="42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培育创业典型</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Times New Roman"/>
                <w:color w:val="000000"/>
                <w:kern w:val="0"/>
                <w:sz w:val="24"/>
                <w:szCs w:val="24"/>
              </w:rPr>
            </w:pPr>
            <w:r>
              <w:rPr>
                <w:rFonts w:ascii="方正仿宋_GBK" w:hAnsi="方正仿宋_GBK" w:eastAsia="方正仿宋_GBK" w:cs="Times New Roman"/>
                <w:color w:val="000000"/>
                <w:kern w:val="0"/>
                <w:sz w:val="24"/>
                <w:szCs w:val="24"/>
                <w:lang w:bidi="hi-IN"/>
              </w:rPr>
              <w:t>30例</w:t>
            </w:r>
          </w:p>
        </w:tc>
        <w:tc>
          <w:tcPr>
            <w:tcW w:w="3403" w:type="dxa"/>
            <w:vMerge w:val="restart"/>
            <w:tcBorders>
              <w:left w:val="single" w:color="000000" w:sz="4" w:space="0"/>
              <w:bottom w:val="single" w:color="000000" w:sz="4" w:space="0"/>
            </w:tcBorders>
            <w:shd w:val="clear" w:color="auto" w:fill="auto"/>
            <w:vAlign w:val="center"/>
          </w:tcPr>
          <w:p>
            <w:pPr>
              <w:jc w:val="left"/>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人才最新政策及活动及时通知人才及单位</w:t>
            </w:r>
          </w:p>
        </w:tc>
        <w:tc>
          <w:tcPr>
            <w:tcW w:w="18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方正仿宋_GBK" w:hAnsi="方正仿宋_GBK" w:eastAsia="方正仿宋_GBK" w:cs="宋体"/>
                <w:color w:val="000000"/>
                <w:kern w:val="0"/>
                <w:sz w:val="24"/>
                <w:szCs w:val="24"/>
              </w:rPr>
            </w:pPr>
            <w:r>
              <w:rPr>
                <w:rFonts w:ascii="方正仿宋_GBK" w:hAnsi="方正仿宋_GBK" w:eastAsia="方正仿宋_GBK" w:cs="宋体"/>
                <w:color w:val="000000"/>
                <w:kern w:val="0"/>
                <w:sz w:val="24"/>
                <w:szCs w:val="24"/>
                <w:lang w:bidi="hi-IN"/>
              </w:rPr>
              <w:t>及时准确</w:t>
            </w:r>
          </w:p>
        </w:tc>
      </w:tr>
      <w:tr>
        <w:tblPrEx>
          <w:tblCellMar>
            <w:top w:w="0" w:type="dxa"/>
            <w:left w:w="108" w:type="dxa"/>
            <w:bottom w:w="0" w:type="dxa"/>
            <w:right w:w="108" w:type="dxa"/>
          </w:tblCellMar>
        </w:tblPrEx>
        <w:trPr>
          <w:trHeight w:val="300" w:hRule="atLeast"/>
          <w:jc w:val="center"/>
        </w:trPr>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kern w:val="0"/>
                <w:sz w:val="22"/>
              </w:rPr>
            </w:pPr>
            <w:r>
              <w:rPr>
                <w:rFonts w:ascii="方正仿宋_GBK" w:hAnsi="方正仿宋_GBK" w:eastAsia="方正仿宋_GBK" w:cs="宋体"/>
                <w:color w:val="000000"/>
                <w:kern w:val="0"/>
                <w:sz w:val="24"/>
                <w:szCs w:val="24"/>
                <w:lang w:bidi="hi-IN"/>
              </w:rPr>
              <w:t>举办创业讲堂</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kern w:val="0"/>
                <w:sz w:val="22"/>
              </w:rPr>
            </w:pPr>
            <w:r>
              <w:rPr>
                <w:rFonts w:ascii="Times New Roman" w:hAnsi="Times New Roman" w:eastAsia="宋体" w:cs="Times New Roman"/>
                <w:color w:val="000000"/>
                <w:kern w:val="0"/>
                <w:sz w:val="22"/>
                <w:szCs w:val="20"/>
                <w:lang w:bidi="hi-IN"/>
              </w:rPr>
              <w:t>100</w:t>
            </w:r>
            <w:r>
              <w:rPr>
                <w:rFonts w:ascii="Times New Roman" w:hAnsi="Times New Roman" w:cs="Times New Roman"/>
                <w:color w:val="000000"/>
                <w:kern w:val="0"/>
                <w:sz w:val="22"/>
                <w:szCs w:val="20"/>
                <w:lang w:bidi="hi-IN"/>
              </w:rPr>
              <w:t>场</w:t>
            </w:r>
          </w:p>
        </w:tc>
        <w:tc>
          <w:tcPr>
            <w:tcW w:w="3403" w:type="dxa"/>
            <w:vMerge w:val="continue"/>
            <w:tcBorders>
              <w:left w:val="single" w:color="000000" w:sz="4" w:space="0"/>
              <w:bottom w:val="single" w:color="000000" w:sz="4" w:space="0"/>
            </w:tcBorders>
            <w:vAlign w:val="center"/>
          </w:tcPr>
          <w:p>
            <w:pPr>
              <w:jc w:val="left"/>
              <w:rPr>
                <w:rFonts w:ascii="宋体" w:hAnsi="宋体" w:eastAsia="宋体" w:cs="宋体"/>
                <w:color w:val="000000"/>
                <w:kern w:val="0"/>
                <w:sz w:val="22"/>
              </w:rPr>
            </w:pPr>
          </w:p>
        </w:tc>
        <w:tc>
          <w:tcPr>
            <w:tcW w:w="1834"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eastAsia="宋体" w:cs="宋体"/>
                <w:color w:val="000000"/>
                <w:kern w:val="0"/>
                <w:sz w:val="22"/>
              </w:rPr>
            </w:pPr>
          </w:p>
        </w:tc>
      </w:tr>
    </w:tbl>
    <w:p>
      <w:pPr>
        <w:suppressAutoHyphens w:val="0"/>
        <w:spacing w:line="570" w:lineRule="exact"/>
        <w:ind w:firstLine="640" w:firstLineChars="200"/>
        <w:jc w:val="left"/>
        <w:rPr>
          <w:rFonts w:hint="eastAsia" w:ascii="仿宋" w:hAnsi="仿宋" w:eastAsia="仿宋" w:cs="仿宋"/>
          <w:sz w:val="32"/>
          <w:szCs w:val="32"/>
        </w:rPr>
      </w:pPr>
      <w:bookmarkStart w:id="42" w:name="_Toc49613851"/>
    </w:p>
    <w:p>
      <w:pPr>
        <w:suppressAutoHyphens w:val="0"/>
        <w:spacing w:line="570" w:lineRule="exact"/>
        <w:ind w:firstLine="640" w:firstLineChars="200"/>
        <w:outlineLvl w:val="0"/>
        <w:rPr>
          <w:rFonts w:hint="eastAsia" w:ascii="方正黑体_GBK" w:hAnsi="方正黑体_GBK" w:eastAsia="方正黑体_GBK" w:cs="方正黑体_GBK"/>
          <w:bCs/>
          <w:color w:val="auto"/>
          <w:sz w:val="32"/>
          <w:szCs w:val="32"/>
        </w:rPr>
      </w:pPr>
      <w:bookmarkStart w:id="43" w:name="_Toc21002"/>
      <w:r>
        <w:rPr>
          <w:rFonts w:hint="eastAsia" w:ascii="方正黑体_GBK" w:hAnsi="方正黑体_GBK" w:eastAsia="方正黑体_GBK" w:cs="方正黑体_GBK"/>
          <w:bCs/>
          <w:color w:val="auto"/>
          <w:sz w:val="32"/>
          <w:szCs w:val="32"/>
        </w:rPr>
        <w:t>二、组织实施情况</w:t>
      </w:r>
      <w:bookmarkEnd w:id="42"/>
      <w:bookmarkEnd w:id="43"/>
    </w:p>
    <w:p>
      <w:pPr>
        <w:spacing w:line="57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灌云县成立了人才工作领导小组，设立人才领导小组办公室。按照统一领导、分类管理的原则，统筹人才队伍建设。</w:t>
      </w:r>
    </w:p>
    <w:p>
      <w:pPr>
        <w:spacing w:line="570" w:lineRule="exact"/>
        <w:ind w:firstLine="643" w:firstLineChars="200"/>
        <w:rPr>
          <w:rFonts w:hint="eastAsia" w:ascii="仿宋" w:hAnsi="仿宋" w:eastAsia="仿宋" w:cs="仿宋"/>
          <w:kern w:val="0"/>
          <w:sz w:val="32"/>
          <w:szCs w:val="32"/>
        </w:rPr>
      </w:pPr>
      <w:r>
        <w:rPr>
          <w:rFonts w:hint="eastAsia" w:ascii="仿宋" w:hAnsi="仿宋" w:eastAsia="仿宋" w:cs="仿宋"/>
          <w:b/>
          <w:kern w:val="0"/>
          <w:sz w:val="32"/>
          <w:szCs w:val="32"/>
        </w:rPr>
        <w:t>组织部</w:t>
      </w:r>
      <w:r>
        <w:rPr>
          <w:rFonts w:hint="eastAsia" w:ascii="仿宋" w:hAnsi="仿宋" w:eastAsia="仿宋" w:cs="仿宋"/>
          <w:kern w:val="0"/>
          <w:sz w:val="32"/>
          <w:szCs w:val="32"/>
        </w:rPr>
        <w:t>负责人才项目牵头工作，抓总体规划、政策统筹、工作策划、重要人才开发、重大典型宣传等工作；</w:t>
      </w:r>
    </w:p>
    <w:p>
      <w:pPr>
        <w:spacing w:line="570" w:lineRule="exact"/>
        <w:ind w:firstLine="643" w:firstLineChars="200"/>
        <w:rPr>
          <w:rFonts w:hint="eastAsia" w:ascii="仿宋" w:hAnsi="仿宋" w:eastAsia="仿宋" w:cs="仿宋"/>
          <w:color w:val="333333"/>
          <w:kern w:val="0"/>
          <w:sz w:val="32"/>
          <w:szCs w:val="32"/>
          <w:shd w:val="clear" w:color="auto" w:fill="FFFFFF"/>
        </w:rPr>
      </w:pPr>
      <w:r>
        <w:rPr>
          <w:rFonts w:hint="eastAsia" w:ascii="仿宋" w:hAnsi="仿宋" w:eastAsia="仿宋" w:cs="仿宋"/>
          <w:b/>
          <w:color w:val="333333"/>
          <w:kern w:val="0"/>
          <w:sz w:val="32"/>
          <w:szCs w:val="32"/>
          <w:shd w:val="clear" w:color="auto" w:fill="FFFFFF"/>
        </w:rPr>
        <w:t>人社局</w:t>
      </w:r>
      <w:r>
        <w:rPr>
          <w:rFonts w:hint="eastAsia" w:ascii="仿宋" w:hAnsi="仿宋" w:eastAsia="仿宋" w:cs="仿宋"/>
          <w:color w:val="333333"/>
          <w:kern w:val="0"/>
          <w:sz w:val="32"/>
          <w:szCs w:val="32"/>
          <w:shd w:val="clear" w:color="auto" w:fill="FFFFFF"/>
        </w:rPr>
        <w:t>负责招引人才、制定人才政策、构建人才服务体系、培育和发展人才资源市场等工作；</w:t>
      </w:r>
    </w:p>
    <w:p>
      <w:pPr>
        <w:spacing w:line="570" w:lineRule="exact"/>
        <w:ind w:firstLine="643" w:firstLineChars="200"/>
        <w:rPr>
          <w:rFonts w:hint="eastAsia" w:ascii="仿宋" w:hAnsi="仿宋" w:eastAsia="仿宋" w:cs="仿宋"/>
          <w:color w:val="333333"/>
          <w:kern w:val="0"/>
          <w:sz w:val="32"/>
          <w:szCs w:val="32"/>
          <w:shd w:val="clear" w:color="auto" w:fill="FFFFFF"/>
        </w:rPr>
      </w:pPr>
      <w:r>
        <w:rPr>
          <w:rFonts w:hint="eastAsia" w:ascii="仿宋" w:hAnsi="仿宋" w:eastAsia="仿宋" w:cs="仿宋"/>
          <w:b/>
          <w:color w:val="333333"/>
          <w:kern w:val="0"/>
          <w:sz w:val="32"/>
          <w:szCs w:val="32"/>
          <w:shd w:val="clear" w:color="auto" w:fill="FFFFFF"/>
        </w:rPr>
        <w:t>科技局</w:t>
      </w:r>
      <w:r>
        <w:rPr>
          <w:rFonts w:hint="eastAsia" w:ascii="仿宋" w:hAnsi="仿宋" w:eastAsia="仿宋" w:cs="仿宋"/>
          <w:color w:val="333333"/>
          <w:kern w:val="0"/>
          <w:sz w:val="32"/>
          <w:szCs w:val="32"/>
          <w:shd w:val="clear" w:color="auto" w:fill="FFFFFF"/>
        </w:rPr>
        <w:t>负责重大载体建设、重大人才项目申报、知识产权保护、科技成果转化、产学研合作等工作。鼓励和引导各乡镇（街道）、园区、企业出台人才配套政策，作为县人才政策的补充和延续，支持在外人才加速回流，引导人才争先评优，鼓励企业科技创新，优化栓心留人环境。</w:t>
      </w:r>
    </w:p>
    <w:p>
      <w:pPr>
        <w:suppressAutoHyphens w:val="0"/>
        <w:spacing w:line="570" w:lineRule="exact"/>
        <w:ind w:firstLine="640" w:firstLineChars="200"/>
        <w:outlineLvl w:val="0"/>
        <w:rPr>
          <w:rFonts w:hint="eastAsia" w:ascii="方正黑体_GBK" w:hAnsi="方正黑体_GBK" w:eastAsia="方正黑体_GBK" w:cs="方正黑体_GBK"/>
          <w:bCs/>
          <w:color w:val="auto"/>
          <w:sz w:val="32"/>
          <w:szCs w:val="32"/>
        </w:rPr>
      </w:pPr>
      <w:bookmarkStart w:id="44" w:name="_Toc9679"/>
      <w:bookmarkStart w:id="45" w:name="_Toc49613855"/>
      <w:r>
        <w:rPr>
          <w:rFonts w:hint="eastAsia" w:ascii="方正黑体_GBK" w:hAnsi="方正黑体_GBK" w:eastAsia="方正黑体_GBK" w:cs="方正黑体_GBK"/>
          <w:bCs/>
          <w:color w:val="auto"/>
          <w:sz w:val="32"/>
          <w:szCs w:val="32"/>
        </w:rPr>
        <w:t>三、绩效评价工作开展情况</w:t>
      </w:r>
      <w:bookmarkEnd w:id="44"/>
      <w:bookmarkEnd w:id="45"/>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46" w:name="_Toc6425"/>
      <w:bookmarkStart w:id="47" w:name="_Toc49613856"/>
      <w:r>
        <w:rPr>
          <w:rFonts w:hint="eastAsia" w:ascii="方正楷体_GBK" w:hAnsi="方正楷体_GBK" w:eastAsia="方正楷体_GBK" w:cs="方正楷体_GBK"/>
          <w:bCs/>
          <w:color w:val="auto"/>
          <w:sz w:val="32"/>
          <w:szCs w:val="32"/>
        </w:rPr>
        <w:t>（一）评价目的和范围</w:t>
      </w:r>
      <w:bookmarkEnd w:id="46"/>
      <w:bookmarkEnd w:id="47"/>
    </w:p>
    <w:p>
      <w:pPr>
        <w:spacing w:line="57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灌云县2019年度人才专项资金支出绩效评价的主要目的是通过绩效评价，衡量财政专项资金用于人才建设方面的绩效，检查资金使用是否达到预期目标，资金管理过程是否规范，资金使用是否有效；通过总结经验，分析存在问题，有针对性地采取进一步改进和加强财政支出项目管理，切实提高财政资金使用效率和效益的措施，为下一步预算资金安排、完善政策提供参考。</w:t>
      </w:r>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48" w:name="_Toc24732"/>
      <w:bookmarkStart w:id="49" w:name="_Toc49613857"/>
      <w:r>
        <w:rPr>
          <w:rFonts w:hint="eastAsia" w:ascii="方正楷体_GBK" w:hAnsi="方正楷体_GBK" w:eastAsia="方正楷体_GBK" w:cs="方正楷体_GBK"/>
          <w:bCs/>
          <w:color w:val="auto"/>
          <w:sz w:val="32"/>
          <w:szCs w:val="32"/>
        </w:rPr>
        <w:t>（二）绩效评价原则和方法</w:t>
      </w:r>
      <w:bookmarkEnd w:id="48"/>
      <w:bookmarkEnd w:id="49"/>
    </w:p>
    <w:p>
      <w:pPr>
        <w:autoSpaceDE w:val="0"/>
        <w:autoSpaceDN w:val="0"/>
        <w:spacing w:line="57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根据有关财政支出绩效评价的规定和专项资金支出相关内容，本次评价工作遵循 “客观、公正、科学、规范”的原则，通过对项目的经济性、效率性、有效性、公平性的比较和分析，评价财政专项资金的支出效率和支出效果。结合专项资金项目特点，评价方法主要采用目标预定与实施效果比较法，评价指标分析主要采用定量</w:t>
      </w:r>
      <w:r>
        <w:rPr>
          <w:rFonts w:hint="eastAsia" w:ascii="仿宋" w:hAnsi="仿宋" w:eastAsia="仿宋" w:cs="仿宋"/>
          <w:spacing w:val="-6"/>
          <w:kern w:val="0"/>
          <w:sz w:val="32"/>
          <w:szCs w:val="32"/>
        </w:rPr>
        <w:t>指标分析，并辅以部分定性分析。评价基准日为2019年12月31日。</w:t>
      </w:r>
      <w:bookmarkStart w:id="50" w:name="_Toc49613866"/>
    </w:p>
    <w:p>
      <w:pPr>
        <w:suppressAutoHyphens w:val="0"/>
        <w:spacing w:line="570" w:lineRule="exact"/>
        <w:ind w:firstLine="640" w:firstLineChars="200"/>
        <w:outlineLvl w:val="0"/>
        <w:rPr>
          <w:rFonts w:hint="eastAsia" w:ascii="方正黑体_GBK" w:hAnsi="方正黑体_GBK" w:eastAsia="方正黑体_GBK" w:cs="方正黑体_GBK"/>
          <w:bCs/>
          <w:color w:val="auto"/>
          <w:sz w:val="32"/>
          <w:szCs w:val="32"/>
        </w:rPr>
      </w:pPr>
      <w:bookmarkStart w:id="51" w:name="_Toc7770"/>
      <w:r>
        <w:rPr>
          <w:rFonts w:hint="eastAsia" w:ascii="方正黑体_GBK" w:hAnsi="方正黑体_GBK" w:eastAsia="方正黑体_GBK" w:cs="方正黑体_GBK"/>
          <w:bCs/>
          <w:color w:val="auto"/>
          <w:sz w:val="32"/>
          <w:szCs w:val="32"/>
        </w:rPr>
        <w:t>四、绩效评价主要指标分析</w:t>
      </w:r>
      <w:bookmarkEnd w:id="50"/>
      <w:bookmarkEnd w:id="51"/>
    </w:p>
    <w:p>
      <w:pPr>
        <w:spacing w:line="570" w:lineRule="exact"/>
        <w:ind w:firstLine="640" w:firstLineChars="200"/>
        <w:rPr>
          <w:rFonts w:hint="eastAsia" w:ascii="仿宋" w:hAnsi="仿宋" w:eastAsia="仿宋" w:cs="仿宋"/>
          <w:b/>
          <w:color w:val="000000"/>
          <w:kern w:val="0"/>
          <w:sz w:val="32"/>
          <w:szCs w:val="32"/>
        </w:rPr>
      </w:pPr>
      <w:r>
        <w:rPr>
          <w:rFonts w:hint="eastAsia" w:ascii="仿宋" w:hAnsi="仿宋" w:eastAsia="仿宋" w:cs="仿宋"/>
          <w:color w:val="000000"/>
          <w:kern w:val="0"/>
          <w:sz w:val="32"/>
          <w:szCs w:val="32"/>
        </w:rPr>
        <w:t>2019年灌云县人才项目财政支出绩效评价主要是对财政资金管理与使用情况及整个项目产生的绩效进行客观、公正的评价,包括项目决策、过程管理、项目产出和效果。</w:t>
      </w:r>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52" w:name="_Toc49613867"/>
      <w:bookmarkStart w:id="53" w:name="_Toc32510"/>
      <w:r>
        <w:rPr>
          <w:rFonts w:hint="eastAsia" w:ascii="方正楷体_GBK" w:hAnsi="方正楷体_GBK" w:eastAsia="方正楷体_GBK" w:cs="方正楷体_GBK"/>
          <w:bCs/>
          <w:color w:val="auto"/>
          <w:sz w:val="32"/>
          <w:szCs w:val="32"/>
        </w:rPr>
        <w:t>（一）项目决策</w:t>
      </w:r>
      <w:bookmarkEnd w:id="52"/>
      <w:bookmarkEnd w:id="53"/>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项目决策环节主要从项目立项、预算编制、项目规划和计划、绩</w:t>
      </w:r>
      <w:r>
        <w:rPr>
          <w:rFonts w:hint="eastAsia" w:ascii="仿宋" w:hAnsi="仿宋" w:eastAsia="仿宋" w:cs="仿宋"/>
          <w:color w:val="000000"/>
          <w:spacing w:val="-6"/>
          <w:kern w:val="0"/>
          <w:sz w:val="32"/>
          <w:szCs w:val="32"/>
        </w:rPr>
        <w:t>效目标设定四个维度进行评价。一级指标满分10分，得8.5分。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1.项目立项</w:t>
      </w:r>
      <w:r>
        <w:rPr>
          <w:rFonts w:hint="eastAsia" w:ascii="仿宋" w:hAnsi="仿宋" w:eastAsia="仿宋" w:cs="仿宋"/>
          <w:color w:val="000000"/>
          <w:kern w:val="0"/>
          <w:sz w:val="32"/>
          <w:szCs w:val="32"/>
        </w:rPr>
        <w:t>：从评价情况分析，灌云县处于工业化、城镇化加速期和“加快科学发展，建设幸福新灌云”的关键期，建设小康社会的重任赋予人才工作全新的要求，因此，必须创新人才工作机制和方法、实施引进和培养人才政策。该指标满分1分，得1分。</w:t>
      </w:r>
    </w:p>
    <w:p>
      <w:pPr>
        <w:spacing w:line="570" w:lineRule="exact"/>
        <w:ind w:firstLine="643" w:firstLineChars="200"/>
        <w:rPr>
          <w:rFonts w:hint="eastAsia" w:ascii="仿宋" w:hAnsi="仿宋" w:eastAsia="仿宋" w:cs="仿宋"/>
          <w:color w:val="000000"/>
          <w:kern w:val="0"/>
          <w:sz w:val="32"/>
          <w:szCs w:val="32"/>
          <w:highlight w:val="none"/>
        </w:rPr>
      </w:pPr>
      <w:r>
        <w:rPr>
          <w:rFonts w:hint="eastAsia" w:ascii="仿宋" w:hAnsi="仿宋" w:eastAsia="仿宋" w:cs="仿宋"/>
          <w:b/>
          <w:color w:val="000000"/>
          <w:kern w:val="0"/>
          <w:sz w:val="32"/>
          <w:szCs w:val="32"/>
        </w:rPr>
        <w:t>2.项目规划和计划</w:t>
      </w:r>
      <w:r>
        <w:rPr>
          <w:rFonts w:hint="eastAsia" w:ascii="仿宋" w:hAnsi="仿宋" w:eastAsia="仿宋" w:cs="仿宋"/>
          <w:color w:val="000000"/>
          <w:kern w:val="0"/>
          <w:sz w:val="32"/>
          <w:szCs w:val="32"/>
        </w:rPr>
        <w:t>：灌云县制定了明确的中长期规划，人才规划总体可行、合理，与实际需求匹配，涵盖了人才政策多数项目,</w:t>
      </w:r>
      <w:r>
        <w:rPr>
          <w:rFonts w:hint="eastAsia" w:ascii="仿宋" w:hAnsi="仿宋" w:eastAsia="仿宋" w:cs="仿宋"/>
          <w:color w:val="000000"/>
          <w:kern w:val="0"/>
          <w:sz w:val="32"/>
          <w:szCs w:val="32"/>
          <w:highlight w:val="none"/>
        </w:rPr>
        <w:t>该指标满分1分，得1分。</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b w:val="0"/>
          <w:color w:val="000000"/>
          <w:kern w:val="0"/>
          <w:sz w:val="32"/>
          <w:szCs w:val="32"/>
          <w:highlight w:val="none"/>
        </w:rPr>
        <w:t>年度计划健全性：灌云县人才项目有年度计划。该指标满分1分，得1分。</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3.预算管理：</w:t>
      </w:r>
      <w:r>
        <w:rPr>
          <w:rFonts w:hint="eastAsia" w:ascii="仿宋" w:hAnsi="仿宋" w:eastAsia="仿宋" w:cs="仿宋"/>
          <w:b/>
          <w:color w:val="000000"/>
          <w:kern w:val="0"/>
          <w:sz w:val="32"/>
          <w:szCs w:val="32"/>
        </w:rPr>
        <w:t>主要评价预算编制科学性和</w:t>
      </w:r>
      <w:r>
        <w:rPr>
          <w:rFonts w:hint="eastAsia" w:ascii="仿宋" w:hAnsi="仿宋" w:eastAsia="仿宋" w:cs="仿宋"/>
          <w:b/>
          <w:kern w:val="0"/>
          <w:sz w:val="32"/>
          <w:szCs w:val="32"/>
        </w:rPr>
        <w:t>资金分配合理性</w:t>
      </w:r>
      <w:r>
        <w:rPr>
          <w:rFonts w:hint="eastAsia" w:ascii="仿宋" w:hAnsi="仿宋" w:eastAsia="仿宋" w:cs="仿宋"/>
          <w:color w:val="000000"/>
          <w:kern w:val="0"/>
          <w:sz w:val="32"/>
          <w:szCs w:val="32"/>
        </w:rPr>
        <w:t>。    两个指标4分，得3分。</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预算编制：人才项目</w:t>
      </w:r>
      <w:r>
        <w:rPr>
          <w:rFonts w:hint="eastAsia" w:ascii="仿宋" w:hAnsi="仿宋" w:eastAsia="仿宋" w:cs="仿宋"/>
          <w:kern w:val="0"/>
          <w:sz w:val="32"/>
          <w:szCs w:val="32"/>
        </w:rPr>
        <w:t>上年和本年专项资金结余较大，</w:t>
      </w:r>
      <w:r>
        <w:rPr>
          <w:rFonts w:hint="eastAsia" w:ascii="仿宋" w:hAnsi="仿宋" w:eastAsia="仿宋" w:cs="仿宋"/>
          <w:color w:val="000000"/>
          <w:kern w:val="0"/>
          <w:sz w:val="32"/>
          <w:szCs w:val="32"/>
        </w:rPr>
        <w:t>绩效总目标与与预算编制不够匹配，未考虑上年结余结转数。</w:t>
      </w:r>
      <w:r>
        <w:rPr>
          <w:rFonts w:hint="eastAsia" w:ascii="仿宋" w:hAnsi="仿宋" w:eastAsia="仿宋" w:cs="仿宋"/>
          <w:b/>
          <w:color w:val="000000"/>
          <w:kern w:val="0"/>
          <w:sz w:val="32"/>
          <w:szCs w:val="32"/>
        </w:rPr>
        <w:t>该</w:t>
      </w:r>
      <w:r>
        <w:rPr>
          <w:rFonts w:hint="eastAsia" w:ascii="仿宋" w:hAnsi="仿宋" w:eastAsia="仿宋" w:cs="仿宋"/>
          <w:color w:val="000000"/>
          <w:kern w:val="0"/>
          <w:sz w:val="32"/>
          <w:szCs w:val="32"/>
        </w:rPr>
        <w:t>指标满分2分，扣0.5分，得1.5分。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kern w:val="0"/>
          <w:sz w:val="32"/>
          <w:szCs w:val="32"/>
        </w:rPr>
        <w:t>资金分配合理性</w:t>
      </w:r>
      <w:r>
        <w:rPr>
          <w:rFonts w:hint="eastAsia" w:ascii="仿宋" w:hAnsi="仿宋" w:eastAsia="仿宋" w:cs="仿宋"/>
          <w:kern w:val="0"/>
          <w:sz w:val="32"/>
          <w:szCs w:val="32"/>
        </w:rPr>
        <w:t>:</w:t>
      </w:r>
      <w:r>
        <w:rPr>
          <w:rFonts w:hint="eastAsia" w:ascii="仿宋" w:hAnsi="仿宋" w:eastAsia="仿宋" w:cs="仿宋"/>
          <w:color w:val="000000"/>
          <w:kern w:val="0"/>
          <w:sz w:val="32"/>
          <w:szCs w:val="32"/>
        </w:rPr>
        <w:t>灌云县人才项目年初有资金分配计划，但是实际支出与</w:t>
      </w:r>
      <w:r>
        <w:rPr>
          <w:rFonts w:hint="eastAsia" w:ascii="仿宋" w:hAnsi="仿宋" w:eastAsia="仿宋" w:cs="仿宋"/>
          <w:kern w:val="0"/>
          <w:sz w:val="32"/>
          <w:szCs w:val="32"/>
        </w:rPr>
        <w:t>资金分配计划相差较大，说明年初工作计划直接分配不尽合理。该指标满分2分，扣0.5分，</w:t>
      </w:r>
      <w:r>
        <w:rPr>
          <w:rFonts w:hint="eastAsia" w:ascii="仿宋" w:hAnsi="仿宋" w:eastAsia="仿宋" w:cs="仿宋"/>
          <w:b/>
          <w:kern w:val="0"/>
          <w:sz w:val="32"/>
          <w:szCs w:val="32"/>
        </w:rPr>
        <w:t>得</w:t>
      </w:r>
      <w:r>
        <w:rPr>
          <w:rFonts w:hint="eastAsia" w:ascii="仿宋" w:hAnsi="仿宋" w:eastAsia="仿宋" w:cs="仿宋"/>
          <w:b/>
          <w:color w:val="FF0000"/>
          <w:kern w:val="0"/>
          <w:sz w:val="32"/>
          <w:szCs w:val="32"/>
        </w:rPr>
        <w:t>1.5</w:t>
      </w:r>
      <w:r>
        <w:rPr>
          <w:rFonts w:hint="eastAsia" w:ascii="仿宋" w:hAnsi="仿宋" w:eastAsia="仿宋" w:cs="仿宋"/>
          <w:b/>
          <w:kern w:val="0"/>
          <w:sz w:val="32"/>
          <w:szCs w:val="32"/>
        </w:rPr>
        <w:t>分</w:t>
      </w:r>
      <w:r>
        <w:rPr>
          <w:rFonts w:hint="eastAsia" w:ascii="仿宋" w:hAnsi="仿宋" w:eastAsia="仿宋" w:cs="仿宋"/>
          <w:kern w:val="0"/>
          <w:sz w:val="32"/>
          <w:szCs w:val="32"/>
        </w:rPr>
        <w:t>。</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4.绩效目标设定</w:t>
      </w:r>
      <w:r>
        <w:rPr>
          <w:rFonts w:hint="eastAsia" w:ascii="仿宋" w:hAnsi="仿宋" w:eastAsia="仿宋" w:cs="仿宋"/>
          <w:color w:val="000000"/>
          <w:kern w:val="0"/>
          <w:sz w:val="32"/>
          <w:szCs w:val="32"/>
        </w:rPr>
        <w:t>：主要评价目标制定的合理性和指标明确性。两个指标，</w:t>
      </w:r>
      <w:r>
        <w:rPr>
          <w:rFonts w:hint="eastAsia" w:ascii="仿宋" w:hAnsi="仿宋" w:eastAsia="仿宋" w:cs="仿宋"/>
          <w:b/>
          <w:color w:val="000000"/>
          <w:kern w:val="0"/>
          <w:sz w:val="32"/>
          <w:szCs w:val="32"/>
        </w:rPr>
        <w:t>共3分，得2.5分。</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目标合理性：灌云县人才项目绩效总目标与与预算资金匹配度不足，该指标2分，扣0.5分，得1.5分。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绩效指标明确性</w:t>
      </w:r>
      <w:r>
        <w:rPr>
          <w:rFonts w:hint="eastAsia" w:ascii="仿宋" w:hAnsi="仿宋" w:eastAsia="仿宋" w:cs="仿宋"/>
          <w:color w:val="000000"/>
          <w:kern w:val="0"/>
          <w:sz w:val="32"/>
          <w:szCs w:val="32"/>
        </w:rPr>
        <w:t>：灌云县人才专项资金绩效指标基本清晰、细化、可衡量，该指标得满分1分。</w:t>
      </w:r>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54" w:name="_Toc49613868"/>
      <w:bookmarkStart w:id="55" w:name="_Toc19303"/>
      <w:r>
        <w:rPr>
          <w:rFonts w:hint="eastAsia" w:ascii="方正楷体_GBK" w:hAnsi="方正楷体_GBK" w:eastAsia="方正楷体_GBK" w:cs="方正楷体_GBK"/>
          <w:bCs/>
          <w:color w:val="auto"/>
          <w:sz w:val="32"/>
          <w:szCs w:val="32"/>
        </w:rPr>
        <w:t>（二）项目过程管理</w:t>
      </w:r>
      <w:bookmarkEnd w:id="54"/>
      <w:bookmarkEnd w:id="55"/>
    </w:p>
    <w:p>
      <w:pPr>
        <w:autoSpaceDE w:val="0"/>
        <w:autoSpaceDN w:val="0"/>
        <w:spacing w:line="570" w:lineRule="exact"/>
        <w:ind w:firstLine="643" w:firstLineChars="200"/>
        <w:jc w:val="left"/>
        <w:rPr>
          <w:rFonts w:hint="eastAsia" w:ascii="仿宋" w:hAnsi="仿宋" w:eastAsia="仿宋" w:cs="仿宋"/>
          <w:kern w:val="0"/>
          <w:sz w:val="32"/>
          <w:szCs w:val="32"/>
        </w:rPr>
      </w:pPr>
      <w:r>
        <w:rPr>
          <w:rFonts w:hint="eastAsia" w:ascii="仿宋" w:hAnsi="仿宋" w:eastAsia="仿宋" w:cs="仿宋"/>
          <w:b/>
          <w:color w:val="000000"/>
          <w:kern w:val="0"/>
          <w:sz w:val="32"/>
          <w:szCs w:val="32"/>
        </w:rPr>
        <w:t>项目过程</w:t>
      </w:r>
      <w:r>
        <w:rPr>
          <w:rFonts w:hint="eastAsia" w:ascii="仿宋" w:hAnsi="仿宋" w:eastAsia="仿宋" w:cs="仿宋"/>
          <w:b/>
          <w:kern w:val="0"/>
          <w:sz w:val="32"/>
          <w:szCs w:val="32"/>
        </w:rPr>
        <w:t>管理</w:t>
      </w:r>
      <w:r>
        <w:rPr>
          <w:rFonts w:hint="eastAsia" w:ascii="仿宋" w:hAnsi="仿宋" w:eastAsia="仿宋" w:cs="仿宋"/>
          <w:kern w:val="0"/>
          <w:sz w:val="32"/>
          <w:szCs w:val="32"/>
        </w:rPr>
        <w:t>包括财务管理、组织管理、预算执行三个二级指标。一级指标满分20分，得16分。</w:t>
      </w:r>
    </w:p>
    <w:p>
      <w:pPr>
        <w:spacing w:line="570" w:lineRule="exact"/>
        <w:ind w:firstLine="643" w:firstLineChars="200"/>
        <w:rPr>
          <w:rFonts w:hint="eastAsia" w:ascii="仿宋" w:hAnsi="仿宋" w:eastAsia="仿宋" w:cs="仿宋"/>
          <w:kern w:val="0"/>
          <w:sz w:val="32"/>
          <w:szCs w:val="32"/>
        </w:rPr>
      </w:pPr>
      <w:r>
        <w:rPr>
          <w:rFonts w:hint="eastAsia" w:ascii="仿宋" w:hAnsi="仿宋" w:eastAsia="仿宋" w:cs="仿宋"/>
          <w:b/>
          <w:kern w:val="0"/>
          <w:sz w:val="32"/>
          <w:szCs w:val="32"/>
        </w:rPr>
        <w:t>1.预算执行</w:t>
      </w:r>
      <w:r>
        <w:rPr>
          <w:rFonts w:hint="eastAsia" w:ascii="仿宋" w:hAnsi="仿宋" w:eastAsia="仿宋" w:cs="仿宋"/>
          <w:kern w:val="0"/>
          <w:sz w:val="32"/>
          <w:szCs w:val="32"/>
        </w:rPr>
        <w:t>从资金到位率和资金使用率两个方面评价。这两个指标，</w:t>
      </w:r>
      <w:r>
        <w:rPr>
          <w:rFonts w:hint="eastAsia" w:ascii="仿宋" w:hAnsi="仿宋" w:eastAsia="仿宋" w:cs="仿宋"/>
          <w:b/>
          <w:kern w:val="0"/>
          <w:sz w:val="32"/>
          <w:szCs w:val="32"/>
        </w:rPr>
        <w:t>满分10分，得7分，</w:t>
      </w:r>
      <w:r>
        <w:rPr>
          <w:rFonts w:hint="eastAsia" w:ascii="仿宋" w:hAnsi="仿宋" w:eastAsia="仿宋" w:cs="仿宋"/>
          <w:kern w:val="0"/>
          <w:sz w:val="32"/>
          <w:szCs w:val="32"/>
        </w:rPr>
        <w:t>其中：</w:t>
      </w:r>
    </w:p>
    <w:p>
      <w:pPr>
        <w:spacing w:line="570" w:lineRule="exact"/>
        <w:ind w:firstLine="643" w:firstLineChars="200"/>
        <w:rPr>
          <w:rFonts w:hint="eastAsia" w:ascii="仿宋" w:hAnsi="仿宋" w:eastAsia="仿宋" w:cs="仿宋"/>
          <w:kern w:val="0"/>
          <w:sz w:val="32"/>
          <w:szCs w:val="32"/>
        </w:rPr>
      </w:pPr>
      <w:r>
        <w:rPr>
          <w:rFonts w:hint="eastAsia" w:ascii="仿宋" w:hAnsi="仿宋" w:eastAsia="仿宋" w:cs="仿宋"/>
          <w:b/>
          <w:kern w:val="0"/>
          <w:sz w:val="32"/>
          <w:szCs w:val="32"/>
        </w:rPr>
        <w:t>资金到位率</w:t>
      </w:r>
      <w:r>
        <w:rPr>
          <w:rFonts w:hint="eastAsia" w:ascii="仿宋" w:hAnsi="仿宋" w:eastAsia="仿宋" w:cs="仿宋"/>
          <w:kern w:val="0"/>
          <w:sz w:val="32"/>
          <w:szCs w:val="32"/>
        </w:rPr>
        <w:t>指标：</w:t>
      </w:r>
      <w:r>
        <w:rPr>
          <w:rFonts w:hint="eastAsia" w:ascii="仿宋" w:hAnsi="仿宋" w:eastAsia="仿宋" w:cs="仿宋"/>
          <w:color w:val="000000"/>
          <w:kern w:val="0"/>
          <w:sz w:val="32"/>
          <w:szCs w:val="32"/>
        </w:rPr>
        <w:t>灌云县</w:t>
      </w:r>
      <w:r>
        <w:rPr>
          <w:rFonts w:hint="eastAsia" w:ascii="仿宋" w:hAnsi="仿宋" w:eastAsia="仿宋" w:cs="仿宋"/>
          <w:kern w:val="0"/>
          <w:sz w:val="32"/>
          <w:szCs w:val="32"/>
        </w:rPr>
        <w:t>人才专项资金年初预算1000万元，上年结转691.22万元，截至2019年12月31日，指标已全部下达。资金到位率100%，该指标得满分3分；</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kern w:val="0"/>
          <w:sz w:val="32"/>
          <w:szCs w:val="32"/>
        </w:rPr>
        <w:t>预算执行率，即</w:t>
      </w:r>
      <w:r>
        <w:rPr>
          <w:rFonts w:hint="eastAsia" w:ascii="仿宋" w:hAnsi="仿宋" w:eastAsia="仿宋" w:cs="仿宋"/>
          <w:b/>
          <w:kern w:val="0"/>
          <w:sz w:val="32"/>
          <w:szCs w:val="32"/>
        </w:rPr>
        <w:t>资金使用率</w:t>
      </w:r>
      <w:r>
        <w:rPr>
          <w:rFonts w:hint="eastAsia" w:ascii="仿宋" w:hAnsi="仿宋" w:eastAsia="仿宋" w:cs="仿宋"/>
          <w:kern w:val="0"/>
          <w:sz w:val="32"/>
          <w:szCs w:val="32"/>
        </w:rPr>
        <w:t>指标公式：资金使用率=2019年人才支出/（2019年预算数+2018年预算结转数）×100%；</w:t>
      </w:r>
      <w:r>
        <w:rPr>
          <w:rFonts w:hint="eastAsia" w:ascii="仿宋" w:hAnsi="仿宋" w:eastAsia="仿宋" w:cs="仿宋"/>
          <w:sz w:val="32"/>
          <w:szCs w:val="32"/>
        </w:rPr>
        <w:t>2019年度灌云县共使用人才专项资金838.12万元，人才专项资金年初预算1000万元，上年结转691.22万元，人才专项资金使用率为49.56%。资金使用率未超过50%，扣1分；因人才住房补贴未发放，再扣1分。该指标分值3分，合计扣2分，得1分。</w:t>
      </w:r>
    </w:p>
    <w:p>
      <w:pPr>
        <w:spacing w:line="57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资金使用合规性指标：评价发现个别资金使用不合规，如发生购置镇长团电动车支出等。该指标满分4分，扣1分，得3分。</w:t>
      </w:r>
    </w:p>
    <w:p>
      <w:pPr>
        <w:spacing w:line="570" w:lineRule="exact"/>
        <w:ind w:firstLine="643" w:firstLineChars="200"/>
        <w:rPr>
          <w:rFonts w:hint="eastAsia" w:ascii="仿宋" w:hAnsi="仿宋" w:eastAsia="仿宋" w:cs="仿宋"/>
          <w:b/>
          <w:kern w:val="0"/>
          <w:sz w:val="32"/>
          <w:szCs w:val="32"/>
        </w:rPr>
      </w:pPr>
      <w:r>
        <w:rPr>
          <w:rFonts w:hint="eastAsia" w:ascii="仿宋" w:hAnsi="仿宋" w:eastAsia="仿宋" w:cs="仿宋"/>
          <w:b/>
          <w:kern w:val="0"/>
          <w:sz w:val="32"/>
          <w:szCs w:val="32"/>
        </w:rPr>
        <w:t>2.组织管理：设4个指标，满分10分，得9分。其中：</w:t>
      </w:r>
    </w:p>
    <w:p>
      <w:pPr>
        <w:spacing w:line="570" w:lineRule="exact"/>
        <w:ind w:firstLine="643" w:firstLineChars="200"/>
        <w:rPr>
          <w:rFonts w:hint="eastAsia" w:ascii="仿宋" w:hAnsi="仿宋" w:eastAsia="仿宋" w:cs="仿宋"/>
          <w:kern w:val="0"/>
          <w:sz w:val="32"/>
          <w:szCs w:val="32"/>
        </w:rPr>
      </w:pPr>
      <w:r>
        <w:rPr>
          <w:rFonts w:hint="eastAsia" w:ascii="仿宋" w:hAnsi="仿宋" w:eastAsia="仿宋" w:cs="仿宋"/>
          <w:b/>
          <w:kern w:val="0"/>
          <w:sz w:val="32"/>
          <w:szCs w:val="32"/>
        </w:rPr>
        <w:t>组织架构合理性指标：</w:t>
      </w:r>
      <w:r>
        <w:rPr>
          <w:rFonts w:hint="eastAsia" w:ascii="仿宋" w:hAnsi="仿宋" w:eastAsia="仿宋" w:cs="仿宋"/>
          <w:kern w:val="0"/>
          <w:sz w:val="32"/>
          <w:szCs w:val="32"/>
        </w:rPr>
        <w:t>灌云县政府成立了人才领导小组、设立了人才领导小组办公室，组织架构完善，该指标得满分2分；</w:t>
      </w:r>
    </w:p>
    <w:p>
      <w:pPr>
        <w:spacing w:line="570" w:lineRule="exact"/>
        <w:ind w:firstLine="643" w:firstLineChars="200"/>
        <w:rPr>
          <w:rFonts w:hint="eastAsia" w:ascii="仿宋" w:hAnsi="仿宋" w:eastAsia="仿宋" w:cs="仿宋"/>
          <w:kern w:val="0"/>
          <w:sz w:val="32"/>
          <w:szCs w:val="32"/>
        </w:rPr>
      </w:pPr>
      <w:r>
        <w:rPr>
          <w:rFonts w:hint="eastAsia" w:ascii="仿宋" w:hAnsi="仿宋" w:eastAsia="仿宋" w:cs="仿宋"/>
          <w:b/>
          <w:kern w:val="0"/>
          <w:sz w:val="32"/>
          <w:szCs w:val="32"/>
        </w:rPr>
        <w:t>管理制度健全性</w:t>
      </w:r>
      <w:r>
        <w:rPr>
          <w:rFonts w:hint="eastAsia" w:ascii="仿宋" w:hAnsi="仿宋" w:eastAsia="仿宋" w:cs="仿宋"/>
          <w:kern w:val="0"/>
          <w:sz w:val="32"/>
          <w:szCs w:val="32"/>
        </w:rPr>
        <w:t>指标：人才项目管理制度总体健全，该指标得满分3分；</w:t>
      </w:r>
    </w:p>
    <w:p>
      <w:pPr>
        <w:spacing w:line="570" w:lineRule="exact"/>
        <w:ind w:firstLine="643" w:firstLineChars="200"/>
        <w:rPr>
          <w:rFonts w:hint="eastAsia" w:ascii="仿宋" w:hAnsi="仿宋" w:eastAsia="仿宋" w:cs="仿宋"/>
          <w:kern w:val="0"/>
          <w:sz w:val="32"/>
          <w:szCs w:val="32"/>
        </w:rPr>
      </w:pPr>
      <w:r>
        <w:rPr>
          <w:rFonts w:hint="eastAsia" w:ascii="仿宋" w:hAnsi="仿宋" w:eastAsia="仿宋" w:cs="仿宋"/>
          <w:b/>
          <w:kern w:val="0"/>
          <w:sz w:val="32"/>
          <w:szCs w:val="32"/>
        </w:rPr>
        <w:t>项目管理制度执行有效性</w:t>
      </w:r>
      <w:r>
        <w:rPr>
          <w:rFonts w:hint="eastAsia" w:ascii="仿宋" w:hAnsi="仿宋" w:eastAsia="仿宋" w:cs="仿宋"/>
          <w:kern w:val="0"/>
          <w:sz w:val="32"/>
          <w:szCs w:val="32"/>
        </w:rPr>
        <w:t>指标：主要考核项目执行遵守有关法律法规，项目调整和支出手续完备、项目资料完整并归档及时等方面，本次绩效评价，灌云县人才项目程序手续总体规范。该指标满分3分，存在个别支出不合理的情况，扣0.5分，得2.5分；</w:t>
      </w:r>
    </w:p>
    <w:p>
      <w:pPr>
        <w:spacing w:line="570" w:lineRule="exact"/>
        <w:ind w:firstLine="643" w:firstLineChars="200"/>
        <w:rPr>
          <w:rFonts w:hint="eastAsia" w:ascii="仿宋" w:hAnsi="仿宋" w:eastAsia="仿宋" w:cs="仿宋"/>
          <w:b/>
          <w:kern w:val="0"/>
          <w:sz w:val="32"/>
          <w:szCs w:val="32"/>
        </w:rPr>
      </w:pPr>
      <w:r>
        <w:rPr>
          <w:rFonts w:hint="eastAsia" w:ascii="仿宋" w:hAnsi="仿宋" w:eastAsia="仿宋" w:cs="仿宋"/>
          <w:b/>
          <w:color w:val="000000"/>
          <w:kern w:val="0"/>
          <w:sz w:val="32"/>
          <w:szCs w:val="32"/>
        </w:rPr>
        <w:t>人才信息系统及人才考核报告制度完善性</w:t>
      </w:r>
      <w:r>
        <w:rPr>
          <w:rFonts w:hint="eastAsia" w:ascii="仿宋" w:hAnsi="仿宋" w:eastAsia="仿宋" w:cs="仿宋"/>
          <w:color w:val="000000"/>
          <w:kern w:val="0"/>
          <w:sz w:val="32"/>
          <w:szCs w:val="32"/>
        </w:rPr>
        <w:t>指标用以反映和考核基础信息对人才管理工作的支撑情况。截至绩效评价日，灌云县组织部基础信息尚有不足，该指标2分，扣0.5分，得1.5分。</w:t>
      </w:r>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56" w:name="_Toc49613869"/>
      <w:bookmarkStart w:id="57" w:name="_Toc10076"/>
      <w:r>
        <w:rPr>
          <w:rFonts w:hint="eastAsia" w:ascii="方正楷体_GBK" w:hAnsi="方正楷体_GBK" w:eastAsia="方正楷体_GBK" w:cs="方正楷体_GBK"/>
          <w:bCs/>
          <w:color w:val="auto"/>
          <w:sz w:val="32"/>
          <w:szCs w:val="32"/>
        </w:rPr>
        <w:t>（三）项目产出</w:t>
      </w:r>
      <w:bookmarkEnd w:id="56"/>
      <w:bookmarkEnd w:id="57"/>
    </w:p>
    <w:p>
      <w:pPr>
        <w:autoSpaceDE w:val="0"/>
        <w:autoSpaceDN w:val="0"/>
        <w:spacing w:line="570" w:lineRule="exact"/>
        <w:ind w:firstLine="640" w:firstLineChars="200"/>
        <w:jc w:val="left"/>
        <w:rPr>
          <w:rFonts w:hint="eastAsia" w:ascii="仿宋" w:hAnsi="仿宋" w:eastAsia="仿宋" w:cs="仿宋"/>
          <w:kern w:val="0"/>
          <w:sz w:val="32"/>
          <w:szCs w:val="32"/>
        </w:rPr>
      </w:pPr>
      <w:r>
        <w:rPr>
          <w:rFonts w:hint="eastAsia" w:ascii="仿宋" w:hAnsi="仿宋" w:eastAsia="仿宋" w:cs="仿宋"/>
          <w:color w:val="000000"/>
          <w:kern w:val="0"/>
          <w:sz w:val="32"/>
          <w:szCs w:val="32"/>
        </w:rPr>
        <w:t>项目产出主要从人才项目年度产出目标完成情况和项目实施质量</w:t>
      </w:r>
      <w:r>
        <w:rPr>
          <w:rFonts w:hint="eastAsia" w:ascii="仿宋" w:hAnsi="仿宋" w:eastAsia="仿宋" w:cs="仿宋"/>
          <w:color w:val="000000"/>
          <w:spacing w:val="-6"/>
          <w:kern w:val="0"/>
          <w:sz w:val="32"/>
          <w:szCs w:val="32"/>
        </w:rPr>
        <w:t>两个维度评价。</w:t>
      </w:r>
      <w:r>
        <w:rPr>
          <w:rFonts w:hint="eastAsia" w:ascii="仿宋" w:hAnsi="仿宋" w:eastAsia="仿宋" w:cs="仿宋"/>
          <w:spacing w:val="-6"/>
          <w:kern w:val="0"/>
          <w:sz w:val="32"/>
          <w:szCs w:val="32"/>
        </w:rPr>
        <w:t>该指标满分31分，扣6.5分，得分为24.5分</w:t>
      </w:r>
      <w:r>
        <w:rPr>
          <w:rFonts w:hint="eastAsia" w:ascii="仿宋" w:hAnsi="仿宋" w:eastAsia="仿宋" w:cs="仿宋"/>
          <w:b/>
          <w:bCs/>
          <w:spacing w:val="-6"/>
          <w:kern w:val="0"/>
          <w:sz w:val="32"/>
          <w:szCs w:val="32"/>
        </w:rPr>
        <w:t>。其中：</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1. 人才数量：评价人才项目产出目标完成情况，</w:t>
      </w:r>
      <w:r>
        <w:rPr>
          <w:rFonts w:hint="eastAsia" w:ascii="仿宋" w:hAnsi="仿宋" w:eastAsia="仿宋" w:cs="仿宋"/>
          <w:color w:val="000000"/>
          <w:kern w:val="0"/>
          <w:sz w:val="32"/>
          <w:szCs w:val="32"/>
        </w:rPr>
        <w:t>包括人才引进目标完成情况、举办各类人才活动/人才大赛/人才培训目标完成情况、选拔培育人才目标完成情况、人才平台载体建设项目完成情况、其他人才产出目标完成情况五个评价指标。</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人才引进目标任务完成率：</w:t>
      </w:r>
      <w:r>
        <w:rPr>
          <w:rFonts w:hint="eastAsia" w:ascii="仿宋" w:hAnsi="仿宋" w:eastAsia="仿宋" w:cs="仿宋"/>
          <w:color w:val="000000"/>
          <w:spacing w:val="-11"/>
          <w:kern w:val="0"/>
          <w:sz w:val="32"/>
          <w:szCs w:val="32"/>
        </w:rPr>
        <w:t>该指标除省双创人才上报省人才办未获批外，人才年度计划基本完成。该指标满分6分，扣1分，</w:t>
      </w:r>
      <w:r>
        <w:rPr>
          <w:rFonts w:hint="eastAsia" w:ascii="仿宋" w:hAnsi="仿宋" w:eastAsia="仿宋" w:cs="仿宋"/>
          <w:spacing w:val="-11"/>
          <w:kern w:val="0"/>
          <w:sz w:val="32"/>
          <w:szCs w:val="32"/>
        </w:rPr>
        <w:t>得5分</w:t>
      </w:r>
      <w:r>
        <w:rPr>
          <w:rFonts w:hint="eastAsia" w:ascii="仿宋" w:hAnsi="仿宋" w:eastAsia="仿宋" w:cs="仿宋"/>
          <w:color w:val="000000"/>
          <w:spacing w:val="-11"/>
          <w:kern w:val="0"/>
          <w:sz w:val="32"/>
          <w:szCs w:val="32"/>
        </w:rPr>
        <w:t>。</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举办各类人才活动/人才大赛/人才培训目标任务完成率：</w:t>
      </w:r>
      <w:r>
        <w:rPr>
          <w:rFonts w:hint="eastAsia" w:ascii="仿宋" w:hAnsi="仿宋" w:eastAsia="仿宋" w:cs="仿宋"/>
          <w:color w:val="000000"/>
          <w:kern w:val="0"/>
          <w:sz w:val="32"/>
          <w:szCs w:val="32"/>
        </w:rPr>
        <w:t>2019年度设置目标包括：举办灌云人才集市、科技鹊桥会等人才招引活动、举办创业大赛、举办专题培训班、举办行业技能培训、讲座、轮胎</w:t>
      </w:r>
      <w:r>
        <w:rPr>
          <w:rFonts w:hint="eastAsia" w:ascii="仿宋" w:hAnsi="仿宋" w:eastAsia="仿宋" w:cs="仿宋"/>
          <w:color w:val="000000"/>
          <w:spacing w:val="-6"/>
          <w:kern w:val="0"/>
          <w:sz w:val="32"/>
          <w:szCs w:val="32"/>
        </w:rPr>
        <w:t>等活动，除举办专题培训班5场和举办创业讲堂100场两个目标未完成外，其余指标均按时完成。指标满分3分，扣1分，得2分。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选拔培育人才目标任务完成率：</w:t>
      </w:r>
      <w:r>
        <w:rPr>
          <w:rFonts w:hint="eastAsia" w:ascii="仿宋" w:hAnsi="仿宋" w:eastAsia="仿宋" w:cs="仿宋"/>
          <w:color w:val="000000"/>
          <w:kern w:val="0"/>
          <w:sz w:val="32"/>
          <w:szCs w:val="32"/>
        </w:rPr>
        <w:t>2019年共设置6个目标包括：选拔出“县级专业技术拔尖人才”20名、选拔出“精英人才131工程”培养对象33名、培育创业典型30例、培训创业人才1000名、申报省“双创人才”≥2名、申报市“双创人才”≥2名。指标满分3分，得3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人才平台载体建设项目任务完成率：</w:t>
      </w:r>
      <w:r>
        <w:rPr>
          <w:rFonts w:hint="eastAsia" w:ascii="仿宋" w:hAnsi="仿宋" w:eastAsia="仿宋" w:cs="仿宋"/>
          <w:color w:val="000000"/>
          <w:kern w:val="0"/>
          <w:sz w:val="32"/>
          <w:szCs w:val="32"/>
        </w:rPr>
        <w:t>评价2019年度人才平台载体建设完成情况。年初设定6个目标：创建乡土人才创业示范基地100家、创建乡土人才技艺传承基地10家、创建乡土人才大师工作室5家、建立“灌才高效联络站”10家、建立“返乡创业人才乡情驿站”10家、申报市级以上载体平台≥2家。该指标满分6分，得6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其他人才目标完成率：</w:t>
      </w:r>
      <w:r>
        <w:rPr>
          <w:rFonts w:hint="eastAsia" w:ascii="仿宋" w:hAnsi="仿宋" w:eastAsia="仿宋" w:cs="仿宋"/>
          <w:color w:val="000000"/>
          <w:kern w:val="0"/>
          <w:sz w:val="32"/>
          <w:szCs w:val="32"/>
        </w:rPr>
        <w:t>包括发放灌云通金银卡智能卡≥1500张、组织高层次人才体检≥800人次、组织高精尖人才休假疗养1次、举办交友、联谊活动10场、慰问人才10名等5个目标。实际完成发放灌云通金银卡智能卡,组织高层次人才体检目标未完成，指标满分3分，得1.5分。</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2. </w:t>
      </w:r>
      <w:r>
        <w:rPr>
          <w:rFonts w:hint="eastAsia" w:ascii="仿宋" w:hAnsi="仿宋" w:eastAsia="仿宋" w:cs="仿宋"/>
          <w:b/>
          <w:color w:val="000000"/>
          <w:kern w:val="0"/>
          <w:sz w:val="32"/>
          <w:szCs w:val="32"/>
        </w:rPr>
        <w:t>项目实施质量</w:t>
      </w:r>
      <w:r>
        <w:rPr>
          <w:rFonts w:hint="eastAsia" w:ascii="仿宋" w:hAnsi="仿宋" w:eastAsia="仿宋" w:cs="仿宋"/>
          <w:color w:val="000000"/>
          <w:kern w:val="0"/>
          <w:sz w:val="32"/>
          <w:szCs w:val="32"/>
        </w:rPr>
        <w:t>：项目实施质量主要从补贴/奖励对象条件符合率、人才储备增长率2个维度进行评价。指标满分5分，得4分。其中：</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人才政策有效执行率评价人才项目政策有效执行情况，包括：领军人才、大学生创业项目，院士工作站项目，海外人才项目等。按照</w:t>
      </w:r>
      <w:r>
        <w:rPr>
          <w:rFonts w:hint="eastAsia" w:ascii="仿宋" w:hAnsi="仿宋" w:eastAsia="仿宋" w:cs="仿宋"/>
          <w:color w:val="000000"/>
          <w:spacing w:val="-6"/>
          <w:kern w:val="0"/>
          <w:sz w:val="32"/>
          <w:szCs w:val="32"/>
        </w:rPr>
        <w:t>现场检查和资料审核情况，人才项目正常运营水平良好，个别人才支持项目因化工整治未正常经营，满分5分，扣1分，得4分。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3.项目时效指标（满分5分得3分）</w:t>
      </w:r>
      <w:r>
        <w:rPr>
          <w:rFonts w:hint="eastAsia" w:ascii="仿宋" w:hAnsi="仿宋" w:eastAsia="仿宋" w:cs="仿宋"/>
          <w:color w:val="000000"/>
          <w:kern w:val="0"/>
          <w:sz w:val="32"/>
          <w:szCs w:val="32"/>
        </w:rPr>
        <w:t>：租购房补贴250万元未实际发放，统计发放率31.01%。该指标满分5分，扣2分，得3分。其中：</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人才补贴/奖励发放到位率</w:t>
      </w:r>
      <w:r>
        <w:rPr>
          <w:rFonts w:hint="eastAsia" w:ascii="仿宋" w:hAnsi="仿宋" w:eastAsia="仿宋" w:cs="仿宋"/>
          <w:color w:val="000000"/>
          <w:kern w:val="0"/>
          <w:sz w:val="32"/>
          <w:szCs w:val="32"/>
        </w:rPr>
        <w:t>主要评价人才项目政府津贴、补贴、奖励资金发放是否发放到位，用以反映和考核人才资金的规范运行情况。根据灌云县组织部提供资料，人才引进津贴、租购房补贴250万元未实际发放，统计发放率31.01%，该指标满分5分，扣2分，得3分。</w:t>
      </w:r>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58" w:name="_Toc27484"/>
      <w:bookmarkStart w:id="59" w:name="_Toc49613870"/>
      <w:r>
        <w:rPr>
          <w:rFonts w:hint="eastAsia" w:ascii="方正楷体_GBK" w:hAnsi="方正楷体_GBK" w:eastAsia="方正楷体_GBK" w:cs="方正楷体_GBK"/>
          <w:bCs/>
          <w:color w:val="auto"/>
          <w:sz w:val="32"/>
          <w:szCs w:val="32"/>
        </w:rPr>
        <w:t>（四）项目效果</w:t>
      </w:r>
      <w:bookmarkEnd w:id="58"/>
      <w:bookmarkEnd w:id="59"/>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项目效果是项目实施以后给灌云县经济社会发展带来的影响。主要从经济效益、社会效益、政策知晓率和社会满意度四个维度评价。</w:t>
      </w:r>
      <w:r>
        <w:rPr>
          <w:rFonts w:hint="eastAsia" w:ascii="仿宋" w:hAnsi="仿宋" w:eastAsia="仿宋" w:cs="仿宋"/>
          <w:kern w:val="0"/>
          <w:sz w:val="32"/>
          <w:szCs w:val="32"/>
        </w:rPr>
        <w:t>一级指标满分值39分，该项目得分为34分</w:t>
      </w:r>
      <w:r>
        <w:rPr>
          <w:rFonts w:hint="eastAsia" w:ascii="仿宋" w:hAnsi="仿宋" w:eastAsia="仿宋" w:cs="仿宋"/>
          <w:b/>
          <w:bCs/>
          <w:kern w:val="0"/>
          <w:sz w:val="32"/>
          <w:szCs w:val="32"/>
        </w:rPr>
        <w:t>。</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1.经济效益</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经济效益分为人才贡献率和人才经济效益增长达标率两个指标。满分11分，得10分。其中：</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人才贡献率</w:t>
      </w:r>
      <w:r>
        <w:rPr>
          <w:rFonts w:hint="eastAsia" w:ascii="仿宋" w:hAnsi="仿宋" w:eastAsia="仿宋" w:cs="仿宋"/>
          <w:color w:val="000000"/>
          <w:kern w:val="0"/>
          <w:sz w:val="32"/>
          <w:szCs w:val="32"/>
        </w:rPr>
        <w:t>指标考察人才项目促进人才资本对经济增长的贡献率。灌云县人才贡献率2017年39.1%，2018年41.8%，2019年44.7%，三年逐年增长，2019年比2018年增长6.94%，人才贡献率指标满分5分，得5分；</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人才经济效益增长达标率：</w:t>
      </w:r>
      <w:r>
        <w:rPr>
          <w:rFonts w:hint="eastAsia" w:ascii="仿宋" w:hAnsi="仿宋" w:eastAsia="仿宋" w:cs="仿宋"/>
          <w:color w:val="000000"/>
          <w:kern w:val="0"/>
          <w:sz w:val="32"/>
          <w:szCs w:val="32"/>
        </w:rPr>
        <w:t>评价人才项目实施后2019年度经济效益有增长，但个别项目因化工整治未有效实施，该指标满分6分，扣1分，得5分。</w:t>
      </w:r>
    </w:p>
    <w:p>
      <w:pPr>
        <w:spacing w:line="570" w:lineRule="exact"/>
        <w:ind w:firstLine="643" w:firstLineChars="200"/>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2. 社会效益</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社会效益主要从人才结构改善率和人才储备增长率、引进人才示范带动作用、人才保持率4个指标进行分析。满分15分，得13分。其中：</w:t>
      </w:r>
    </w:p>
    <w:p>
      <w:pPr>
        <w:spacing w:line="57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人才储备增长率:</w:t>
      </w:r>
      <w:r>
        <w:rPr>
          <w:rFonts w:hint="eastAsia" w:ascii="仿宋" w:hAnsi="仿宋" w:eastAsia="仿宋" w:cs="仿宋"/>
          <w:color w:val="000000"/>
          <w:kern w:val="0"/>
          <w:sz w:val="32"/>
          <w:szCs w:val="32"/>
        </w:rPr>
        <w:t>评价人才项目实施后人才保有量增加情况。根据灌云县组织部提供数据，灌云县人才储备逐年增长，2019年比2018年增长9.47%，该指标满分5分，得5分。</w:t>
      </w:r>
    </w:p>
    <w:tbl>
      <w:tblPr>
        <w:tblStyle w:val="14"/>
        <w:tblW w:w="7796" w:type="dxa"/>
        <w:jc w:val="center"/>
        <w:tblLayout w:type="fixed"/>
        <w:tblCellMar>
          <w:top w:w="0" w:type="dxa"/>
          <w:left w:w="108" w:type="dxa"/>
          <w:bottom w:w="0" w:type="dxa"/>
          <w:right w:w="108" w:type="dxa"/>
        </w:tblCellMar>
      </w:tblPr>
      <w:tblGrid>
        <w:gridCol w:w="2032"/>
        <w:gridCol w:w="94"/>
        <w:gridCol w:w="709"/>
        <w:gridCol w:w="1701"/>
        <w:gridCol w:w="1559"/>
        <w:gridCol w:w="1701"/>
      </w:tblGrid>
      <w:tr>
        <w:tblPrEx>
          <w:tblCellMar>
            <w:top w:w="0" w:type="dxa"/>
            <w:left w:w="108" w:type="dxa"/>
            <w:bottom w:w="0" w:type="dxa"/>
            <w:right w:w="108" w:type="dxa"/>
          </w:tblCellMar>
        </w:tblPrEx>
        <w:trPr>
          <w:trHeight w:val="285" w:hRule="atLeast"/>
          <w:jc w:val="center"/>
        </w:trPr>
        <w:tc>
          <w:tcPr>
            <w:tcW w:w="2032" w:type="dxa"/>
            <w:tcBorders>
              <w:bottom w:val="single" w:color="000000" w:sz="4" w:space="0"/>
            </w:tcBorders>
          </w:tcPr>
          <w:p>
            <w:pPr>
              <w:jc w:val="center"/>
              <w:rPr>
                <w:rFonts w:ascii="宋体" w:hAnsi="宋体" w:cs="宋体"/>
                <w:kern w:val="0"/>
                <w:sz w:val="24"/>
                <w:szCs w:val="24"/>
                <w:lang w:bidi="hi-IN"/>
              </w:rPr>
            </w:pPr>
          </w:p>
        </w:tc>
        <w:tc>
          <w:tcPr>
            <w:tcW w:w="5764" w:type="dxa"/>
            <w:gridSpan w:val="5"/>
            <w:tcBorders>
              <w:bottom w:val="single" w:color="000000" w:sz="4" w:space="0"/>
            </w:tcBorders>
            <w:shd w:val="clear" w:color="auto" w:fill="auto"/>
            <w:vAlign w:val="center"/>
          </w:tcPr>
          <w:p>
            <w:pPr>
              <w:rPr>
                <w:rFonts w:ascii="宋体" w:hAnsi="宋体" w:eastAsia="宋体" w:cs="宋体"/>
                <w:kern w:val="0"/>
                <w:sz w:val="24"/>
                <w:szCs w:val="24"/>
              </w:rPr>
            </w:pPr>
            <w:r>
              <w:rPr>
                <w:rFonts w:hint="eastAsia" w:ascii="宋体" w:hAnsi="宋体" w:cs="宋体"/>
                <w:kern w:val="0"/>
                <w:sz w:val="24"/>
                <w:szCs w:val="24"/>
                <w:lang w:bidi="hi-IN"/>
              </w:rPr>
              <w:t>2017-2019年灌云县</w:t>
            </w:r>
            <w:r>
              <w:rPr>
                <w:rFonts w:ascii="宋体" w:hAnsi="宋体" w:cs="宋体"/>
                <w:kern w:val="0"/>
                <w:sz w:val="24"/>
                <w:szCs w:val="24"/>
                <w:lang w:bidi="hi-IN"/>
              </w:rPr>
              <w:t>人才储备明细表</w:t>
            </w:r>
          </w:p>
        </w:tc>
      </w:tr>
      <w:tr>
        <w:tblPrEx>
          <w:tblCellMar>
            <w:top w:w="0" w:type="dxa"/>
            <w:left w:w="108" w:type="dxa"/>
            <w:bottom w:w="0" w:type="dxa"/>
            <w:right w:w="108" w:type="dxa"/>
          </w:tblCellMar>
        </w:tblPrEx>
        <w:trPr>
          <w:trHeight w:val="285" w:hRule="atLeast"/>
          <w:jc w:val="center"/>
        </w:trPr>
        <w:tc>
          <w:tcPr>
            <w:tcW w:w="2126" w:type="dxa"/>
            <w:gridSpan w:val="2"/>
            <w:tcBorders>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b/>
                <w:bCs/>
                <w:kern w:val="0"/>
                <w:sz w:val="24"/>
                <w:szCs w:val="24"/>
              </w:rPr>
            </w:pPr>
            <w:r>
              <w:rPr>
                <w:rFonts w:ascii="宋体" w:hAnsi="宋体" w:cs="宋体"/>
                <w:b/>
                <w:bCs/>
                <w:kern w:val="0"/>
                <w:sz w:val="24"/>
                <w:szCs w:val="24"/>
                <w:lang w:bidi="hi-IN"/>
              </w:rPr>
              <w:t>人才储备</w:t>
            </w:r>
          </w:p>
        </w:tc>
        <w:tc>
          <w:tcPr>
            <w:tcW w:w="709"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b/>
                <w:bCs/>
                <w:kern w:val="0"/>
                <w:sz w:val="24"/>
                <w:szCs w:val="24"/>
                <w:lang w:bidi="hi-IN"/>
              </w:rPr>
            </w:pPr>
            <w:r>
              <w:rPr>
                <w:rFonts w:hint="eastAsia" w:ascii="宋体" w:hAnsi="宋体" w:eastAsia="宋体" w:cs="宋体"/>
                <w:b/>
                <w:bCs/>
                <w:kern w:val="0"/>
                <w:sz w:val="24"/>
                <w:szCs w:val="24"/>
                <w:lang w:bidi="hi-IN"/>
              </w:rPr>
              <w:t>单位</w:t>
            </w:r>
          </w:p>
        </w:tc>
        <w:tc>
          <w:tcPr>
            <w:tcW w:w="1701" w:type="dxa"/>
            <w:tcBorders>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eastAsia="宋体" w:cs="宋体"/>
                <w:b/>
                <w:bCs/>
                <w:kern w:val="0"/>
                <w:sz w:val="24"/>
                <w:szCs w:val="24"/>
                <w:lang w:bidi="hi-IN"/>
              </w:rPr>
              <w:t>2017</w:t>
            </w:r>
            <w:r>
              <w:rPr>
                <w:rFonts w:ascii="宋体" w:hAnsi="宋体" w:cs="宋体"/>
                <w:b/>
                <w:bCs/>
                <w:kern w:val="0"/>
                <w:sz w:val="24"/>
                <w:szCs w:val="24"/>
                <w:lang w:bidi="hi-IN"/>
              </w:rPr>
              <w:t>年</w:t>
            </w:r>
          </w:p>
        </w:tc>
        <w:tc>
          <w:tcPr>
            <w:tcW w:w="1559" w:type="dxa"/>
            <w:tcBorders>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eastAsia="宋体" w:cs="宋体"/>
                <w:b/>
                <w:bCs/>
                <w:kern w:val="0"/>
                <w:sz w:val="24"/>
                <w:szCs w:val="24"/>
                <w:lang w:bidi="hi-IN"/>
              </w:rPr>
              <w:t>2018</w:t>
            </w:r>
            <w:r>
              <w:rPr>
                <w:rFonts w:ascii="宋体" w:hAnsi="宋体" w:cs="宋体"/>
                <w:b/>
                <w:bCs/>
                <w:kern w:val="0"/>
                <w:sz w:val="24"/>
                <w:szCs w:val="24"/>
                <w:lang w:bidi="hi-IN"/>
              </w:rPr>
              <w:t>年</w:t>
            </w:r>
          </w:p>
        </w:tc>
        <w:tc>
          <w:tcPr>
            <w:tcW w:w="1701" w:type="dxa"/>
            <w:tcBorders>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eastAsia="宋体" w:cs="宋体"/>
                <w:b/>
                <w:bCs/>
                <w:kern w:val="0"/>
                <w:sz w:val="24"/>
                <w:szCs w:val="24"/>
                <w:lang w:bidi="hi-IN"/>
              </w:rPr>
              <w:t>2019</w:t>
            </w:r>
            <w:r>
              <w:rPr>
                <w:rFonts w:ascii="宋体" w:hAnsi="宋体" w:cs="宋体"/>
                <w:b/>
                <w:bCs/>
                <w:kern w:val="0"/>
                <w:sz w:val="24"/>
                <w:szCs w:val="24"/>
                <w:lang w:bidi="hi-IN"/>
              </w:rPr>
              <w:t>年</w:t>
            </w:r>
          </w:p>
        </w:tc>
      </w:tr>
      <w:tr>
        <w:tblPrEx>
          <w:tblCellMar>
            <w:top w:w="0" w:type="dxa"/>
            <w:left w:w="108" w:type="dxa"/>
            <w:bottom w:w="0" w:type="dxa"/>
            <w:right w:w="108" w:type="dxa"/>
          </w:tblCellMar>
        </w:tblPrEx>
        <w:trPr>
          <w:trHeight w:val="285" w:hRule="atLeast"/>
          <w:jc w:val="center"/>
        </w:trPr>
        <w:tc>
          <w:tcPr>
            <w:tcW w:w="2126" w:type="dxa"/>
            <w:gridSpan w:val="2"/>
            <w:tcBorders>
              <w:left w:val="single" w:color="000000" w:sz="4" w:space="0"/>
              <w:bottom w:val="single" w:color="000000" w:sz="4" w:space="0"/>
              <w:right w:val="single" w:color="auto"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博士学历</w:t>
            </w:r>
          </w:p>
        </w:tc>
        <w:tc>
          <w:tcPr>
            <w:tcW w:w="709"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kern w:val="0"/>
                <w:sz w:val="24"/>
                <w:szCs w:val="24"/>
                <w:lang w:bidi="hi-IN"/>
              </w:rPr>
            </w:pPr>
            <w:r>
              <w:rPr>
                <w:rFonts w:hint="eastAsia" w:ascii="宋体" w:hAnsi="宋体" w:eastAsia="宋体" w:cs="宋体"/>
                <w:kern w:val="0"/>
                <w:sz w:val="24"/>
                <w:szCs w:val="24"/>
                <w:lang w:bidi="hi-IN"/>
              </w:rPr>
              <w:t>人</w:t>
            </w:r>
          </w:p>
        </w:tc>
        <w:tc>
          <w:tcPr>
            <w:tcW w:w="1701" w:type="dxa"/>
            <w:tcBorders>
              <w:left w:val="single" w:color="auto" w:sz="4" w:space="0"/>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16</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20</w:t>
            </w:r>
          </w:p>
        </w:tc>
        <w:tc>
          <w:tcPr>
            <w:tcW w:w="1701"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22</w:t>
            </w:r>
          </w:p>
        </w:tc>
      </w:tr>
      <w:tr>
        <w:tblPrEx>
          <w:tblCellMar>
            <w:top w:w="0" w:type="dxa"/>
            <w:left w:w="108" w:type="dxa"/>
            <w:bottom w:w="0" w:type="dxa"/>
            <w:right w:w="108" w:type="dxa"/>
          </w:tblCellMar>
        </w:tblPrEx>
        <w:trPr>
          <w:trHeight w:val="283" w:hRule="atLeast"/>
          <w:jc w:val="center"/>
        </w:trPr>
        <w:tc>
          <w:tcPr>
            <w:tcW w:w="2126" w:type="dxa"/>
            <w:gridSpan w:val="2"/>
            <w:tcBorders>
              <w:left w:val="single" w:color="000000" w:sz="4" w:space="0"/>
              <w:bottom w:val="single" w:color="000000" w:sz="4" w:space="0"/>
              <w:right w:val="single" w:color="auto"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硕士学历</w:t>
            </w:r>
          </w:p>
        </w:tc>
        <w:tc>
          <w:tcPr>
            <w:tcW w:w="709"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kern w:val="0"/>
                <w:sz w:val="24"/>
                <w:szCs w:val="24"/>
                <w:lang w:bidi="hi-IN"/>
              </w:rPr>
            </w:pPr>
            <w:r>
              <w:rPr>
                <w:rFonts w:hint="eastAsia" w:ascii="宋体" w:hAnsi="宋体" w:eastAsia="宋体" w:cs="宋体"/>
                <w:kern w:val="0"/>
                <w:sz w:val="24"/>
                <w:szCs w:val="24"/>
                <w:lang w:bidi="hi-IN"/>
              </w:rPr>
              <w:t>人</w:t>
            </w:r>
          </w:p>
        </w:tc>
        <w:tc>
          <w:tcPr>
            <w:tcW w:w="1701" w:type="dxa"/>
            <w:tcBorders>
              <w:left w:val="single" w:color="auto" w:sz="4" w:space="0"/>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331</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381</w:t>
            </w:r>
          </w:p>
        </w:tc>
        <w:tc>
          <w:tcPr>
            <w:tcW w:w="1701"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421</w:t>
            </w:r>
          </w:p>
        </w:tc>
      </w:tr>
      <w:tr>
        <w:tblPrEx>
          <w:tblCellMar>
            <w:top w:w="0" w:type="dxa"/>
            <w:left w:w="108" w:type="dxa"/>
            <w:bottom w:w="0" w:type="dxa"/>
            <w:right w:w="108" w:type="dxa"/>
          </w:tblCellMar>
        </w:tblPrEx>
        <w:trPr>
          <w:trHeight w:val="285" w:hRule="atLeast"/>
          <w:jc w:val="center"/>
        </w:trPr>
        <w:tc>
          <w:tcPr>
            <w:tcW w:w="2126" w:type="dxa"/>
            <w:gridSpan w:val="2"/>
            <w:tcBorders>
              <w:left w:val="single" w:color="000000" w:sz="4" w:space="0"/>
              <w:bottom w:val="single" w:color="000000" w:sz="4" w:space="0"/>
              <w:right w:val="single" w:color="auto"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本科学历</w:t>
            </w:r>
          </w:p>
        </w:tc>
        <w:tc>
          <w:tcPr>
            <w:tcW w:w="709"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kern w:val="0"/>
                <w:sz w:val="24"/>
                <w:szCs w:val="24"/>
                <w:lang w:bidi="hi-IN"/>
              </w:rPr>
            </w:pPr>
            <w:r>
              <w:rPr>
                <w:rFonts w:hint="eastAsia" w:ascii="宋体" w:hAnsi="宋体" w:eastAsia="宋体" w:cs="宋体"/>
                <w:kern w:val="0"/>
                <w:sz w:val="24"/>
                <w:szCs w:val="24"/>
                <w:lang w:bidi="hi-IN"/>
              </w:rPr>
              <w:t>人</w:t>
            </w:r>
          </w:p>
        </w:tc>
        <w:tc>
          <w:tcPr>
            <w:tcW w:w="1701" w:type="dxa"/>
            <w:tcBorders>
              <w:left w:val="single" w:color="auto" w:sz="4" w:space="0"/>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11800</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13100</w:t>
            </w:r>
          </w:p>
        </w:tc>
        <w:tc>
          <w:tcPr>
            <w:tcW w:w="1701"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14300</w:t>
            </w:r>
          </w:p>
        </w:tc>
      </w:tr>
      <w:tr>
        <w:tblPrEx>
          <w:tblCellMar>
            <w:top w:w="0" w:type="dxa"/>
            <w:left w:w="108" w:type="dxa"/>
            <w:bottom w:w="0" w:type="dxa"/>
            <w:right w:w="108" w:type="dxa"/>
          </w:tblCellMar>
        </w:tblPrEx>
        <w:trPr>
          <w:trHeight w:val="285" w:hRule="atLeast"/>
          <w:jc w:val="center"/>
        </w:trPr>
        <w:tc>
          <w:tcPr>
            <w:tcW w:w="2126" w:type="dxa"/>
            <w:gridSpan w:val="2"/>
            <w:tcBorders>
              <w:left w:val="single" w:color="000000" w:sz="4" w:space="0"/>
              <w:bottom w:val="single" w:color="000000" w:sz="4" w:space="0"/>
              <w:right w:val="single" w:color="auto"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大专学历</w:t>
            </w:r>
          </w:p>
        </w:tc>
        <w:tc>
          <w:tcPr>
            <w:tcW w:w="709"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kern w:val="0"/>
                <w:sz w:val="24"/>
                <w:szCs w:val="24"/>
                <w:lang w:bidi="hi-IN"/>
              </w:rPr>
            </w:pPr>
            <w:r>
              <w:rPr>
                <w:rFonts w:hint="eastAsia" w:ascii="宋体" w:hAnsi="宋体" w:eastAsia="宋体" w:cs="宋体"/>
                <w:kern w:val="0"/>
                <w:sz w:val="24"/>
                <w:szCs w:val="24"/>
                <w:lang w:bidi="hi-IN"/>
              </w:rPr>
              <w:t>人</w:t>
            </w:r>
          </w:p>
        </w:tc>
        <w:tc>
          <w:tcPr>
            <w:tcW w:w="1701" w:type="dxa"/>
            <w:tcBorders>
              <w:left w:val="single" w:color="auto" w:sz="4" w:space="0"/>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13100</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14400</w:t>
            </w:r>
          </w:p>
        </w:tc>
        <w:tc>
          <w:tcPr>
            <w:tcW w:w="1701"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15800</w:t>
            </w:r>
          </w:p>
        </w:tc>
      </w:tr>
      <w:tr>
        <w:tblPrEx>
          <w:tblCellMar>
            <w:top w:w="0" w:type="dxa"/>
            <w:left w:w="108" w:type="dxa"/>
            <w:bottom w:w="0" w:type="dxa"/>
            <w:right w:w="108" w:type="dxa"/>
          </w:tblCellMar>
        </w:tblPrEx>
        <w:trPr>
          <w:trHeight w:val="285" w:hRule="atLeast"/>
          <w:jc w:val="center"/>
        </w:trPr>
        <w:tc>
          <w:tcPr>
            <w:tcW w:w="2126" w:type="dxa"/>
            <w:gridSpan w:val="2"/>
            <w:tcBorders>
              <w:left w:val="single" w:color="000000" w:sz="4" w:space="0"/>
              <w:bottom w:val="single" w:color="000000" w:sz="4" w:space="0"/>
              <w:right w:val="single" w:color="auto"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合计</w:t>
            </w:r>
          </w:p>
        </w:tc>
        <w:tc>
          <w:tcPr>
            <w:tcW w:w="709"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kern w:val="0"/>
                <w:sz w:val="24"/>
                <w:szCs w:val="24"/>
                <w:lang w:bidi="hi-IN"/>
              </w:rPr>
            </w:pPr>
          </w:p>
        </w:tc>
        <w:tc>
          <w:tcPr>
            <w:tcW w:w="1701" w:type="dxa"/>
            <w:tcBorders>
              <w:left w:val="single" w:color="auto" w:sz="4" w:space="0"/>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25247</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27901</w:t>
            </w:r>
          </w:p>
        </w:tc>
        <w:tc>
          <w:tcPr>
            <w:tcW w:w="1701"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30543</w:t>
            </w:r>
          </w:p>
        </w:tc>
      </w:tr>
    </w:tbl>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人才结构改善率</w:t>
      </w:r>
      <w:r>
        <w:rPr>
          <w:rFonts w:hint="eastAsia" w:ascii="仿宋" w:hAnsi="仿宋" w:eastAsia="仿宋" w:cs="仿宋"/>
          <w:color w:val="000000"/>
          <w:kern w:val="0"/>
          <w:sz w:val="32"/>
          <w:szCs w:val="32"/>
        </w:rPr>
        <w:t>主要评价万人人口人才占比增长情况，灌云县每万人人才占比2017年9.57%，2018年10.51%，2019年11.9%，人才结构逐年改善，人才结构改善率2019年比2018年增长13.22%，人才结构改善率得分为满分2分。</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人才入职保持率指标</w:t>
      </w:r>
      <w:r>
        <w:rPr>
          <w:rFonts w:hint="eastAsia" w:ascii="仿宋" w:hAnsi="仿宋" w:eastAsia="仿宋" w:cs="仿宋"/>
          <w:color w:val="000000"/>
          <w:kern w:val="0"/>
          <w:sz w:val="32"/>
          <w:szCs w:val="32"/>
        </w:rPr>
        <w:t>评价引进人才就业入职保持情况，2019年引进人才1818人，2019年约250位人才流失至苏南等地。该指标满分5分，扣2分，得分3分。</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引进人才带动作用</w:t>
      </w:r>
      <w:r>
        <w:rPr>
          <w:rFonts w:hint="eastAsia" w:ascii="仿宋" w:hAnsi="仿宋" w:eastAsia="仿宋" w:cs="仿宋"/>
          <w:color w:val="000000"/>
          <w:kern w:val="0"/>
          <w:sz w:val="32"/>
          <w:szCs w:val="32"/>
        </w:rPr>
        <w:t>：从北京引进一位医学院士，建立柔性院士工作站，该院士引进后带动县人民医院12名医生赴院士身边研习，有效培养了本土医学人才。2019年县人民医院由二级院评为三级医院，从大内科中新设胆胰科，形成灌云特色专科，并建立了专家会诊中心。该项目满分3分，得3分。</w:t>
      </w:r>
    </w:p>
    <w:p>
      <w:pPr>
        <w:spacing w:line="560" w:lineRule="exact"/>
        <w:ind w:firstLine="640" w:firstLineChars="200"/>
        <w:rPr>
          <w:rFonts w:hint="eastAsia" w:ascii="仿宋" w:hAnsi="仿宋" w:eastAsia="仿宋" w:cs="仿宋"/>
          <w:color w:val="000000"/>
          <w:kern w:val="0"/>
          <w:sz w:val="32"/>
          <w:szCs w:val="32"/>
        </w:rPr>
      </w:pPr>
    </w:p>
    <w:p>
      <w:pPr>
        <w:spacing w:line="560" w:lineRule="exact"/>
        <w:ind w:firstLine="643" w:firstLineChars="200"/>
        <w:rPr>
          <w:rFonts w:hint="eastAsia" w:ascii="仿宋" w:hAnsi="仿宋" w:eastAsia="仿宋" w:cs="仿宋"/>
          <w:b/>
          <w:color w:val="000000"/>
          <w:kern w:val="0"/>
          <w:sz w:val="32"/>
          <w:szCs w:val="32"/>
        </w:rPr>
      </w:pPr>
      <w:r>
        <w:rPr>
          <w:rFonts w:hint="eastAsia" w:ascii="仿宋" w:hAnsi="仿宋" w:eastAsia="仿宋" w:cs="仿宋"/>
          <w:b/>
          <w:color w:val="000000"/>
          <w:kern w:val="0"/>
          <w:sz w:val="32"/>
          <w:szCs w:val="32"/>
        </w:rPr>
        <w:t>3. 政策知晓率</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政策知晓率主要考核</w:t>
      </w:r>
      <w:r>
        <w:rPr>
          <w:rFonts w:hint="eastAsia" w:ascii="仿宋" w:hAnsi="仿宋" w:eastAsia="仿宋" w:cs="仿宋"/>
          <w:b/>
          <w:color w:val="000000"/>
          <w:kern w:val="0"/>
          <w:sz w:val="32"/>
          <w:szCs w:val="32"/>
        </w:rPr>
        <w:t>社会公众对人才政策知晓率指标</w:t>
      </w:r>
      <w:r>
        <w:rPr>
          <w:rFonts w:hint="eastAsia" w:ascii="仿宋" w:hAnsi="仿宋" w:eastAsia="仿宋" w:cs="仿宋"/>
          <w:color w:val="000000"/>
          <w:kern w:val="0"/>
          <w:sz w:val="32"/>
          <w:szCs w:val="32"/>
        </w:rPr>
        <w:t>，通过发放调查问卷统计社会公众对政策的知晓率为83.35%，该指标满分3分，扣0.5分，得2.5分。</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4. </w:t>
      </w:r>
      <w:r>
        <w:rPr>
          <w:rFonts w:hint="eastAsia" w:ascii="仿宋" w:hAnsi="仿宋" w:eastAsia="仿宋" w:cs="仿宋"/>
          <w:b/>
          <w:color w:val="000000"/>
          <w:kern w:val="0"/>
          <w:sz w:val="32"/>
          <w:szCs w:val="32"/>
        </w:rPr>
        <w:t>社会满意度</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社会满意度包括人才满意度、用人单位满意度、社会公众满意度3个指标。满分10分，得8.5分。</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通过调查问卷统计，人才满意度100%，得满分3分。用人单位满意度87.5%，低于90%，认为人才资金少，企业留人才难。该指标分值4分，扣1分，得3分。社会公众满意度86.24%，低于90%，指标分值3分，扣0.5分，得2.5分。</w:t>
      </w:r>
    </w:p>
    <w:p>
      <w:pPr>
        <w:suppressAutoHyphens w:val="0"/>
        <w:spacing w:line="570" w:lineRule="exact"/>
        <w:ind w:firstLine="640" w:firstLineChars="200"/>
        <w:outlineLvl w:val="0"/>
        <w:rPr>
          <w:rFonts w:hint="eastAsia" w:ascii="方正黑体_GBK" w:hAnsi="方正黑体_GBK" w:eastAsia="方正黑体_GBK" w:cs="方正黑体_GBK"/>
          <w:bCs/>
          <w:color w:val="auto"/>
          <w:kern w:val="2"/>
          <w:sz w:val="32"/>
          <w:szCs w:val="32"/>
        </w:rPr>
      </w:pPr>
      <w:bookmarkStart w:id="60" w:name="_Toc1389"/>
      <w:bookmarkStart w:id="61" w:name="_Toc49613871"/>
      <w:r>
        <w:rPr>
          <w:rFonts w:hint="eastAsia" w:ascii="方正黑体_GBK" w:hAnsi="方正黑体_GBK" w:eastAsia="方正黑体_GBK" w:cs="方正黑体_GBK"/>
          <w:bCs/>
          <w:color w:val="auto"/>
          <w:sz w:val="32"/>
          <w:szCs w:val="32"/>
        </w:rPr>
        <w:t>五、</w:t>
      </w:r>
      <w:r>
        <w:rPr>
          <w:rFonts w:hint="eastAsia" w:ascii="方正黑体_GBK" w:hAnsi="方正黑体_GBK" w:eastAsia="方正黑体_GBK" w:cs="方正黑体_GBK"/>
          <w:bCs/>
          <w:color w:val="auto"/>
          <w:kern w:val="2"/>
          <w:sz w:val="32"/>
          <w:szCs w:val="32"/>
        </w:rPr>
        <w:t>评价结论</w:t>
      </w:r>
      <w:bookmarkEnd w:id="60"/>
      <w:bookmarkEnd w:id="61"/>
    </w:p>
    <w:p>
      <w:pPr>
        <w:autoSpaceDE w:val="0"/>
        <w:autoSpaceDN w:val="0"/>
        <w:spacing w:line="56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通过调研、资料查阅、实地考察、问卷调查等方法，以及对材料审核和现场核查评价结果，综合评定2019年</w:t>
      </w:r>
      <w:r>
        <w:rPr>
          <w:rFonts w:hint="eastAsia" w:ascii="仿宋" w:hAnsi="仿宋" w:eastAsia="仿宋" w:cs="仿宋"/>
          <w:color w:val="000000"/>
          <w:kern w:val="0"/>
          <w:sz w:val="32"/>
          <w:szCs w:val="32"/>
        </w:rPr>
        <w:t>灌云县人才政策</w:t>
      </w:r>
      <w:r>
        <w:rPr>
          <w:rFonts w:hint="eastAsia" w:ascii="仿宋" w:hAnsi="仿宋" w:eastAsia="仿宋" w:cs="仿宋"/>
          <w:sz w:val="32"/>
          <w:szCs w:val="32"/>
        </w:rPr>
        <w:t>项目</w:t>
      </w:r>
      <w:r>
        <w:rPr>
          <w:rFonts w:hint="eastAsia" w:ascii="仿宋" w:hAnsi="仿宋" w:eastAsia="仿宋" w:cs="仿宋"/>
          <w:kern w:val="0"/>
          <w:sz w:val="32"/>
          <w:szCs w:val="32"/>
        </w:rPr>
        <w:t>绩效得分为83分， 绩效等级为“ 良”。扣分的原因主要人才项目目标精细化不足，预算未考虑上年结余结转，人才项目引培突出不足；当年引入人才有流失的情况，少数人才项目未正常运营及个别支出不规范等情况。</w:t>
      </w:r>
    </w:p>
    <w:p>
      <w:pPr>
        <w:spacing w:line="560" w:lineRule="exact"/>
        <w:ind w:firstLine="0"/>
        <w:jc w:val="center"/>
        <w:rPr>
          <w:rFonts w:ascii="仿宋" w:hAnsi="仿宋" w:eastAsia="仿宋"/>
          <w:b/>
          <w:sz w:val="28"/>
          <w:szCs w:val="28"/>
        </w:rPr>
      </w:pPr>
      <w:r>
        <w:rPr>
          <w:rFonts w:ascii="仿宋" w:hAnsi="仿宋" w:eastAsia="仿宋"/>
          <w:b/>
          <w:sz w:val="28"/>
          <w:szCs w:val="28"/>
        </w:rPr>
        <w:t>评价得分情况表</w:t>
      </w:r>
    </w:p>
    <w:tbl>
      <w:tblPr>
        <w:tblStyle w:val="14"/>
        <w:tblW w:w="7938" w:type="dxa"/>
        <w:jc w:val="center"/>
        <w:tblLayout w:type="fixed"/>
        <w:tblCellMar>
          <w:top w:w="0" w:type="dxa"/>
          <w:left w:w="108" w:type="dxa"/>
          <w:bottom w:w="0" w:type="dxa"/>
          <w:right w:w="108" w:type="dxa"/>
        </w:tblCellMar>
      </w:tblPr>
      <w:tblGrid>
        <w:gridCol w:w="1276"/>
        <w:gridCol w:w="1133"/>
        <w:gridCol w:w="1418"/>
        <w:gridCol w:w="1561"/>
        <w:gridCol w:w="1132"/>
        <w:gridCol w:w="1418"/>
      </w:tblGrid>
      <w:tr>
        <w:tblPrEx>
          <w:tblCellMar>
            <w:top w:w="0" w:type="dxa"/>
            <w:left w:w="108" w:type="dxa"/>
            <w:bottom w:w="0" w:type="dxa"/>
            <w:right w:w="108" w:type="dxa"/>
          </w:tblCellMar>
        </w:tblPrEx>
        <w:trPr>
          <w:trHeight w:val="285" w:hRule="atLeast"/>
          <w:jc w:val="center"/>
        </w:trPr>
        <w:tc>
          <w:tcPr>
            <w:tcW w:w="1276" w:type="dxa"/>
            <w:tcBorders>
              <w:top w:val="single" w:color="000000" w:sz="8" w:space="0"/>
              <w:left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指标</w:t>
            </w:r>
          </w:p>
        </w:tc>
        <w:tc>
          <w:tcPr>
            <w:tcW w:w="1133" w:type="dxa"/>
            <w:tcBorders>
              <w:top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决策</w:t>
            </w:r>
          </w:p>
        </w:tc>
        <w:tc>
          <w:tcPr>
            <w:tcW w:w="1418" w:type="dxa"/>
            <w:tcBorders>
              <w:top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过程</w:t>
            </w:r>
          </w:p>
        </w:tc>
        <w:tc>
          <w:tcPr>
            <w:tcW w:w="1561" w:type="dxa"/>
            <w:tcBorders>
              <w:top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产出</w:t>
            </w:r>
          </w:p>
        </w:tc>
        <w:tc>
          <w:tcPr>
            <w:tcW w:w="1132" w:type="dxa"/>
            <w:tcBorders>
              <w:top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效益</w:t>
            </w:r>
          </w:p>
        </w:tc>
        <w:tc>
          <w:tcPr>
            <w:tcW w:w="1418" w:type="dxa"/>
            <w:tcBorders>
              <w:top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合计分值</w:t>
            </w:r>
          </w:p>
        </w:tc>
      </w:tr>
      <w:tr>
        <w:tblPrEx>
          <w:tblCellMar>
            <w:top w:w="0" w:type="dxa"/>
            <w:left w:w="108" w:type="dxa"/>
            <w:bottom w:w="0" w:type="dxa"/>
            <w:right w:w="108" w:type="dxa"/>
          </w:tblCellMar>
        </w:tblPrEx>
        <w:trPr>
          <w:trHeight w:val="283" w:hRule="atLeast"/>
          <w:jc w:val="center"/>
        </w:trPr>
        <w:tc>
          <w:tcPr>
            <w:tcW w:w="1276" w:type="dxa"/>
            <w:tcBorders>
              <w:left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权重%</w:t>
            </w:r>
          </w:p>
        </w:tc>
        <w:tc>
          <w:tcPr>
            <w:tcW w:w="1133"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10</w:t>
            </w:r>
          </w:p>
        </w:tc>
        <w:tc>
          <w:tcPr>
            <w:tcW w:w="1418"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20</w:t>
            </w:r>
          </w:p>
        </w:tc>
        <w:tc>
          <w:tcPr>
            <w:tcW w:w="1561"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31</w:t>
            </w:r>
          </w:p>
        </w:tc>
        <w:tc>
          <w:tcPr>
            <w:tcW w:w="1132"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39</w:t>
            </w:r>
          </w:p>
        </w:tc>
        <w:tc>
          <w:tcPr>
            <w:tcW w:w="1418"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100</w:t>
            </w:r>
          </w:p>
        </w:tc>
      </w:tr>
      <w:tr>
        <w:tblPrEx>
          <w:tblCellMar>
            <w:top w:w="0" w:type="dxa"/>
            <w:left w:w="108" w:type="dxa"/>
            <w:bottom w:w="0" w:type="dxa"/>
            <w:right w:w="108" w:type="dxa"/>
          </w:tblCellMar>
        </w:tblPrEx>
        <w:trPr>
          <w:trHeight w:val="285" w:hRule="atLeast"/>
          <w:jc w:val="center"/>
        </w:trPr>
        <w:tc>
          <w:tcPr>
            <w:tcW w:w="1276" w:type="dxa"/>
            <w:tcBorders>
              <w:left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得分</w:t>
            </w:r>
          </w:p>
        </w:tc>
        <w:tc>
          <w:tcPr>
            <w:tcW w:w="1133"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8.5</w:t>
            </w:r>
          </w:p>
        </w:tc>
        <w:tc>
          <w:tcPr>
            <w:tcW w:w="1418"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16</w:t>
            </w:r>
          </w:p>
        </w:tc>
        <w:tc>
          <w:tcPr>
            <w:tcW w:w="1561"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24.5</w:t>
            </w:r>
          </w:p>
        </w:tc>
        <w:tc>
          <w:tcPr>
            <w:tcW w:w="1132"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34</w:t>
            </w:r>
          </w:p>
        </w:tc>
        <w:tc>
          <w:tcPr>
            <w:tcW w:w="1418"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83</w:t>
            </w:r>
          </w:p>
        </w:tc>
      </w:tr>
      <w:tr>
        <w:tblPrEx>
          <w:tblCellMar>
            <w:top w:w="0" w:type="dxa"/>
            <w:left w:w="108" w:type="dxa"/>
            <w:bottom w:w="0" w:type="dxa"/>
            <w:right w:w="108" w:type="dxa"/>
          </w:tblCellMar>
        </w:tblPrEx>
        <w:trPr>
          <w:trHeight w:val="285" w:hRule="atLeast"/>
          <w:jc w:val="center"/>
        </w:trPr>
        <w:tc>
          <w:tcPr>
            <w:tcW w:w="1276" w:type="dxa"/>
            <w:tcBorders>
              <w:left w:val="single" w:color="000000" w:sz="8" w:space="0"/>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得分率</w:t>
            </w:r>
          </w:p>
        </w:tc>
        <w:tc>
          <w:tcPr>
            <w:tcW w:w="1133" w:type="dxa"/>
            <w:tcBorders>
              <w:bottom w:val="single" w:color="000000" w:sz="8" w:space="0"/>
              <w:right w:val="single" w:color="000000" w:sz="8" w:space="0"/>
            </w:tcBorders>
            <w:vAlign w:val="center"/>
          </w:tcPr>
          <w:p>
            <w:pPr>
              <w:ind w:right="240"/>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85%</w:t>
            </w:r>
          </w:p>
        </w:tc>
        <w:tc>
          <w:tcPr>
            <w:tcW w:w="1418"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80%</w:t>
            </w:r>
          </w:p>
        </w:tc>
        <w:tc>
          <w:tcPr>
            <w:tcW w:w="1561"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79.03%</w:t>
            </w:r>
          </w:p>
        </w:tc>
        <w:tc>
          <w:tcPr>
            <w:tcW w:w="1132" w:type="dxa"/>
            <w:tcBorders>
              <w:bottom w:val="single" w:color="000000" w:sz="8" w:space="0"/>
              <w:right w:val="single" w:color="000000" w:sz="8" w:space="0"/>
            </w:tcBorders>
            <w:vAlign w:val="center"/>
          </w:tcPr>
          <w:p>
            <w:pPr>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87.18%</w:t>
            </w:r>
          </w:p>
        </w:tc>
        <w:tc>
          <w:tcPr>
            <w:tcW w:w="1418" w:type="dxa"/>
            <w:tcBorders>
              <w:bottom w:val="single" w:color="000000" w:sz="8" w:space="0"/>
              <w:right w:val="single" w:color="000000" w:sz="8" w:space="0"/>
            </w:tcBorders>
            <w:vAlign w:val="center"/>
          </w:tcPr>
          <w:p>
            <w:pPr>
              <w:ind w:right="120"/>
              <w:jc w:val="center"/>
              <w:rPr>
                <w:rFonts w:ascii="仿宋" w:hAnsi="仿宋" w:eastAsia="仿宋" w:cs="宋体"/>
                <w:color w:val="000000"/>
                <w:kern w:val="0"/>
                <w:sz w:val="24"/>
                <w:szCs w:val="24"/>
              </w:rPr>
            </w:pPr>
            <w:r>
              <w:rPr>
                <w:rFonts w:ascii="仿宋" w:hAnsi="仿宋" w:eastAsia="仿宋" w:cs="宋体"/>
                <w:color w:val="000000"/>
                <w:kern w:val="0"/>
                <w:sz w:val="24"/>
                <w:szCs w:val="24"/>
                <w:lang w:bidi="hi-IN"/>
              </w:rPr>
              <w:t>83%</w:t>
            </w:r>
          </w:p>
        </w:tc>
      </w:tr>
    </w:tbl>
    <w:p>
      <w:pPr>
        <w:autoSpaceDE w:val="0"/>
        <w:autoSpaceDN w:val="0"/>
        <w:spacing w:line="57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rPr>
        <w:t>注：各指标得分情况详见</w:t>
      </w:r>
      <w:r>
        <w:rPr>
          <w:rFonts w:hint="eastAsia" w:ascii="仿宋" w:hAnsi="仿宋" w:eastAsia="仿宋" w:cs="仿宋"/>
          <w:sz w:val="32"/>
          <w:szCs w:val="32"/>
        </w:rPr>
        <w:t>绩效指标附表</w:t>
      </w:r>
      <w:r>
        <w:rPr>
          <w:rFonts w:hint="eastAsia" w:ascii="仿宋" w:hAnsi="仿宋" w:eastAsia="仿宋" w:cs="仿宋"/>
          <w:kern w:val="0"/>
          <w:sz w:val="32"/>
          <w:szCs w:val="32"/>
        </w:rPr>
        <w:t>。</w:t>
      </w:r>
      <w:bookmarkStart w:id="62" w:name="_Hlk49703786"/>
      <w:bookmarkEnd w:id="62"/>
    </w:p>
    <w:p>
      <w:pPr>
        <w:autoSpaceDE w:val="0"/>
        <w:autoSpaceDN w:val="0"/>
        <w:spacing w:line="570" w:lineRule="exact"/>
        <w:ind w:firstLine="640" w:firstLineChars="200"/>
        <w:jc w:val="left"/>
        <w:rPr>
          <w:rFonts w:hint="eastAsia" w:ascii="仿宋" w:hAnsi="仿宋" w:eastAsia="仿宋" w:cs="仿宋"/>
          <w:kern w:val="0"/>
          <w:sz w:val="32"/>
          <w:szCs w:val="32"/>
        </w:rPr>
      </w:pPr>
    </w:p>
    <w:p>
      <w:pPr>
        <w:autoSpaceDE w:val="0"/>
        <w:autoSpaceDN w:val="0"/>
        <w:spacing w:line="570" w:lineRule="exact"/>
        <w:ind w:firstLine="640" w:firstLineChars="200"/>
        <w:jc w:val="left"/>
        <w:rPr>
          <w:rFonts w:hint="eastAsia" w:ascii="仿宋" w:hAnsi="仿宋" w:eastAsia="仿宋" w:cs="仿宋"/>
          <w:kern w:val="0"/>
          <w:sz w:val="32"/>
          <w:szCs w:val="32"/>
        </w:rPr>
      </w:pPr>
    </w:p>
    <w:p>
      <w:pPr>
        <w:suppressAutoHyphens w:val="0"/>
        <w:spacing w:line="570" w:lineRule="exact"/>
        <w:ind w:firstLine="640" w:firstLineChars="200"/>
        <w:outlineLvl w:val="0"/>
        <w:rPr>
          <w:rFonts w:hint="eastAsia" w:ascii="方正黑体_GBK" w:hAnsi="方正黑体_GBK" w:eastAsia="方正黑体_GBK" w:cs="方正黑体_GBK"/>
          <w:bCs/>
          <w:color w:val="auto"/>
          <w:sz w:val="32"/>
          <w:szCs w:val="32"/>
        </w:rPr>
      </w:pPr>
      <w:bookmarkStart w:id="63" w:name="_Toc31735"/>
      <w:r>
        <w:rPr>
          <w:rFonts w:hint="eastAsia" w:ascii="方正黑体_GBK" w:hAnsi="方正黑体_GBK" w:eastAsia="方正黑体_GBK" w:cs="方正黑体_GBK"/>
          <w:bCs/>
          <w:color w:val="auto"/>
          <w:sz w:val="32"/>
          <w:szCs w:val="32"/>
        </w:rPr>
        <w:t>六、主要绩效及经验做法</w:t>
      </w:r>
      <w:bookmarkEnd w:id="63"/>
    </w:p>
    <w:p>
      <w:pPr>
        <w:suppressAutoHyphens w:val="0"/>
        <w:spacing w:line="570" w:lineRule="exact"/>
        <w:ind w:left="0"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64" w:name="_Toc9555"/>
      <w:r>
        <w:rPr>
          <w:rFonts w:hint="eastAsia" w:ascii="方正楷体_GBK" w:hAnsi="方正楷体_GBK" w:eastAsia="方正楷体_GBK" w:cs="方正楷体_GBK"/>
          <w:bCs/>
          <w:color w:val="auto"/>
          <w:kern w:val="2"/>
          <w:sz w:val="32"/>
          <w:szCs w:val="32"/>
          <w:shd w:val="clear" w:color="auto" w:fill="FFFFFF"/>
        </w:rPr>
        <w:t>（一）主要经验和做法</w:t>
      </w:r>
      <w:bookmarkEnd w:id="64"/>
    </w:p>
    <w:p>
      <w:pPr>
        <w:pStyle w:val="4"/>
        <w:spacing w:before="0" w:after="0" w:line="570" w:lineRule="exact"/>
        <w:ind w:left="0" w:firstLine="643" w:firstLineChars="200"/>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1.优化创新创业环境</w:t>
      </w:r>
    </w:p>
    <w:p>
      <w:pPr>
        <w:autoSpaceDE w:val="0"/>
        <w:autoSpaceDN w:val="0"/>
        <w:spacing w:line="57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2019年，灌云县人才工作以省“五坚持五提升”工作体系为统揽，深化人才发展体制机制改革，优化创新创业环境，聚焦提升人才政策知晓度、人才引育精准度、人才服务满意度、人才工作知名度，上下联动，内外结合，为“高质发展、后发先至”凝聚人才引领与创新推动的强大力量，相关工作相继被《新华日报》等主流媒体宣传报道。</w:t>
      </w:r>
    </w:p>
    <w:p>
      <w:pPr>
        <w:pStyle w:val="4"/>
        <w:spacing w:before="0" w:after="0" w:line="570" w:lineRule="exact"/>
        <w:ind w:left="0" w:firstLine="643" w:firstLineChars="200"/>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2.职能部门各司其职、密切配合</w:t>
      </w:r>
    </w:p>
    <w:p>
      <w:pPr>
        <w:autoSpaceDE w:val="0"/>
        <w:autoSpaceDN w:val="0"/>
        <w:spacing w:line="570" w:lineRule="exact"/>
        <w:ind w:firstLine="640" w:firstLineChars="200"/>
        <w:jc w:val="left"/>
        <w:rPr>
          <w:rFonts w:hint="eastAsia" w:ascii="仿宋" w:hAnsi="仿宋" w:eastAsia="仿宋" w:cs="仿宋"/>
          <w:kern w:val="0"/>
          <w:sz w:val="32"/>
          <w:szCs w:val="32"/>
          <w:shd w:val="clear" w:color="auto" w:fill="FFFFFF"/>
        </w:rPr>
      </w:pPr>
      <w:r>
        <w:rPr>
          <w:rFonts w:hint="eastAsia" w:ascii="仿宋" w:hAnsi="仿宋" w:eastAsia="仿宋" w:cs="仿宋"/>
          <w:color w:val="333333"/>
          <w:kern w:val="0"/>
          <w:sz w:val="32"/>
          <w:szCs w:val="32"/>
          <w:shd w:val="clear" w:color="auto" w:fill="FFFFFF"/>
        </w:rPr>
        <w:t>灌云县成立人才工作领导小组，设立人才工作领导小组办公室。按照统一领导、分类管理的原则，科学划分人才工作领导小组各成员单位在人才工作中的职责，统筹抓好人才队伍建设。县委组织部重点抓总体规划制定、重要政策统筹、创新工作策划、重要人才开发、重大典型宣传等工作；县人社局负责招引人才、制定人才政策、构建人才服务体系、培育和发展人才资源市场等工作；县科技局负责重大载体建设、重大人才项目申报、知识产权保护、科技成果转化、产学研合作等工作。</w:t>
      </w:r>
    </w:p>
    <w:p>
      <w:pPr>
        <w:suppressAutoHyphens w:val="0"/>
        <w:spacing w:line="570" w:lineRule="exact"/>
        <w:ind w:firstLine="640" w:firstLineChars="200"/>
        <w:outlineLvl w:val="1"/>
        <w:rPr>
          <w:rFonts w:hint="eastAsia" w:ascii="方正楷体_GBK" w:hAnsi="方正楷体_GBK" w:eastAsia="方正楷体_GBK" w:cs="方正楷体_GBK"/>
          <w:bCs/>
          <w:color w:val="auto"/>
          <w:sz w:val="32"/>
          <w:szCs w:val="32"/>
        </w:rPr>
      </w:pPr>
      <w:bookmarkStart w:id="65" w:name="_Toc12486"/>
      <w:r>
        <w:rPr>
          <w:rFonts w:hint="eastAsia" w:ascii="方正楷体_GBK" w:hAnsi="方正楷体_GBK" w:eastAsia="方正楷体_GBK" w:cs="方正楷体_GBK"/>
          <w:bCs/>
          <w:color w:val="auto"/>
          <w:sz w:val="32"/>
          <w:szCs w:val="32"/>
          <w:lang w:eastAsia="zh-CN"/>
        </w:rPr>
        <w:t>（</w:t>
      </w:r>
      <w:r>
        <w:rPr>
          <w:rFonts w:hint="eastAsia" w:ascii="方正楷体_GBK" w:hAnsi="方正楷体_GBK" w:eastAsia="方正楷体_GBK" w:cs="方正楷体_GBK"/>
          <w:bCs/>
          <w:color w:val="auto"/>
          <w:sz w:val="32"/>
          <w:szCs w:val="32"/>
          <w:lang w:val="en-US" w:eastAsia="zh-CN"/>
        </w:rPr>
        <w:t>二</w:t>
      </w:r>
      <w:r>
        <w:rPr>
          <w:rFonts w:hint="eastAsia" w:ascii="方正楷体_GBK" w:hAnsi="方正楷体_GBK" w:eastAsia="方正楷体_GBK" w:cs="方正楷体_GBK"/>
          <w:bCs/>
          <w:color w:val="auto"/>
          <w:sz w:val="32"/>
          <w:szCs w:val="32"/>
          <w:lang w:eastAsia="zh-CN"/>
        </w:rPr>
        <w:t>）</w:t>
      </w:r>
      <w:r>
        <w:rPr>
          <w:rFonts w:hint="eastAsia" w:ascii="方正楷体_GBK" w:hAnsi="方正楷体_GBK" w:eastAsia="方正楷体_GBK" w:cs="方正楷体_GBK"/>
          <w:bCs/>
          <w:color w:val="auto"/>
          <w:sz w:val="32"/>
          <w:szCs w:val="32"/>
        </w:rPr>
        <w:t>主要成效</w:t>
      </w:r>
      <w:bookmarkEnd w:id="65"/>
    </w:p>
    <w:p>
      <w:pPr>
        <w:pStyle w:val="5"/>
        <w:spacing w:before="0" w:after="0" w:line="570" w:lineRule="exact"/>
        <w:ind w:firstLine="643" w:firstLineChars="200"/>
        <w:rPr>
          <w:rFonts w:hint="eastAsia" w:ascii="仿宋" w:hAnsi="仿宋" w:eastAsia="仿宋" w:cs="仿宋"/>
          <w:kern w:val="0"/>
          <w:sz w:val="32"/>
          <w:szCs w:val="32"/>
        </w:rPr>
      </w:pPr>
      <w:r>
        <w:rPr>
          <w:rFonts w:hint="eastAsia" w:ascii="仿宋" w:hAnsi="仿宋" w:eastAsia="仿宋" w:cs="仿宋"/>
          <w:kern w:val="0"/>
          <w:sz w:val="32"/>
          <w:szCs w:val="32"/>
        </w:rPr>
        <w:t>1.促进人才结构改善</w:t>
      </w:r>
    </w:p>
    <w:p>
      <w:pPr>
        <w:pStyle w:val="6"/>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kern w:val="0"/>
          <w:sz w:val="32"/>
          <w:szCs w:val="32"/>
        </w:rPr>
        <w:t>灌云县政府人才政策有效促进人才项目实施，</w:t>
      </w:r>
      <w:r>
        <w:rPr>
          <w:rFonts w:hint="eastAsia" w:ascii="仿宋" w:hAnsi="仿宋" w:eastAsia="仿宋" w:cs="仿宋"/>
          <w:color w:val="000000"/>
          <w:kern w:val="0"/>
          <w:sz w:val="32"/>
          <w:szCs w:val="32"/>
        </w:rPr>
        <w:t>2019年计划引进高层次人才50名，实际引进78名，超过设定的指标；计划申报省双创人才申报对象4人，实际申报对象6人。引进大专及以上学历人才1800名，实际完成引进大专以上学历人才1818名；计划引进高层次创业人才6名，实际引进高层次创业人才36名。通过人才引进，有效改善了全县人才结构，按全县户籍人口103万人计算，每万人人才比由2017年的2.47，提升至2019年2.96，人才结构改善率2019年比2017年增长20.04%。</w:t>
      </w:r>
    </w:p>
    <w:p>
      <w:pPr>
        <w:pStyle w:val="5"/>
        <w:spacing w:before="0" w:after="0" w:line="570" w:lineRule="exact"/>
        <w:ind w:firstLine="643" w:firstLineChars="200"/>
        <w:rPr>
          <w:rFonts w:hint="eastAsia" w:ascii="仿宋" w:hAnsi="仿宋" w:eastAsia="仿宋" w:cs="仿宋"/>
          <w:kern w:val="0"/>
          <w:sz w:val="32"/>
          <w:szCs w:val="32"/>
        </w:rPr>
      </w:pPr>
      <w:r>
        <w:rPr>
          <w:rFonts w:hint="eastAsia" w:ascii="仿宋" w:hAnsi="仿宋" w:eastAsia="仿宋" w:cs="仿宋"/>
          <w:kern w:val="0"/>
          <w:sz w:val="32"/>
          <w:szCs w:val="32"/>
        </w:rPr>
        <w:t>2. 促进人才储备增长</w:t>
      </w:r>
    </w:p>
    <w:p>
      <w:pPr>
        <w:spacing w:line="57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财政支持人才政策实施后，人才保有量稳步增加。根据灌云县组织部提供数据，灌云县人才储备逐年增长，2019年人才储备达30543</w:t>
      </w:r>
      <w:r>
        <w:rPr>
          <w:rFonts w:hint="eastAsia" w:ascii="仿宋" w:hAnsi="仿宋" w:eastAsia="仿宋" w:cs="仿宋"/>
          <w:color w:val="000000"/>
          <w:spacing w:val="-6"/>
          <w:kern w:val="0"/>
          <w:sz w:val="32"/>
          <w:szCs w:val="32"/>
        </w:rPr>
        <w:t>人，比2018年27901人增长9.47%，其中硕士研究生增长率达10.5%。表明财政补助政策，对提升县人才储备有十分重要的作用。</w:t>
      </w:r>
    </w:p>
    <w:tbl>
      <w:tblPr>
        <w:tblStyle w:val="14"/>
        <w:tblW w:w="7988" w:type="dxa"/>
        <w:jc w:val="center"/>
        <w:tblLayout w:type="fixed"/>
        <w:tblCellMar>
          <w:top w:w="0" w:type="dxa"/>
          <w:left w:w="108" w:type="dxa"/>
          <w:bottom w:w="0" w:type="dxa"/>
          <w:right w:w="108" w:type="dxa"/>
        </w:tblCellMar>
      </w:tblPr>
      <w:tblGrid>
        <w:gridCol w:w="2124"/>
        <w:gridCol w:w="1278"/>
        <w:gridCol w:w="1559"/>
        <w:gridCol w:w="1417"/>
        <w:gridCol w:w="1610"/>
      </w:tblGrid>
      <w:tr>
        <w:tblPrEx>
          <w:tblCellMar>
            <w:top w:w="0" w:type="dxa"/>
            <w:left w:w="108" w:type="dxa"/>
            <w:bottom w:w="0" w:type="dxa"/>
            <w:right w:w="108" w:type="dxa"/>
          </w:tblCellMar>
        </w:tblPrEx>
        <w:trPr>
          <w:trHeight w:val="285" w:hRule="atLeast"/>
          <w:jc w:val="center"/>
        </w:trPr>
        <w:tc>
          <w:tcPr>
            <w:tcW w:w="7988" w:type="dxa"/>
            <w:gridSpan w:val="5"/>
            <w:tcBorders>
              <w:bottom w:val="single" w:color="000000" w:sz="4" w:space="0"/>
            </w:tcBorders>
            <w:shd w:val="clear" w:color="auto" w:fill="auto"/>
            <w:vAlign w:val="center"/>
          </w:tcPr>
          <w:p>
            <w:pPr>
              <w:spacing w:before="157" w:beforeLines="50"/>
              <w:jc w:val="center"/>
              <w:rPr>
                <w:rFonts w:ascii="宋体" w:hAnsi="宋体" w:eastAsia="宋体" w:cs="宋体"/>
                <w:kern w:val="0"/>
                <w:sz w:val="24"/>
                <w:szCs w:val="24"/>
              </w:rPr>
            </w:pPr>
            <w:r>
              <w:rPr>
                <w:rFonts w:ascii="宋体" w:hAnsi="宋体" w:eastAsia="宋体" w:cs="宋体"/>
                <w:kern w:val="0"/>
                <w:sz w:val="28"/>
                <w:szCs w:val="28"/>
                <w:lang w:bidi="hi-IN"/>
              </w:rPr>
              <w:t>2017-2019</w:t>
            </w:r>
            <w:r>
              <w:rPr>
                <w:rFonts w:ascii="宋体" w:hAnsi="宋体" w:cs="宋体"/>
                <w:kern w:val="0"/>
                <w:sz w:val="28"/>
                <w:szCs w:val="28"/>
                <w:lang w:bidi="hi-IN"/>
              </w:rPr>
              <w:t>年人才储备增长情况表</w:t>
            </w:r>
            <w:r>
              <w:rPr>
                <w:rFonts w:ascii="宋体" w:hAnsi="宋体" w:eastAsia="宋体" w:cs="宋体"/>
                <w:kern w:val="0"/>
                <w:sz w:val="28"/>
                <w:szCs w:val="28"/>
                <w:lang w:bidi="hi-IN"/>
              </w:rPr>
              <w:br w:type="textWrapping"/>
            </w:r>
            <w:r>
              <w:rPr>
                <w:rFonts w:hint="eastAsia" w:ascii="宋体" w:hAnsi="宋体" w:cs="宋体"/>
                <w:kern w:val="0"/>
                <w:sz w:val="24"/>
                <w:szCs w:val="24"/>
                <w:lang w:bidi="hi-IN"/>
              </w:rPr>
              <w:t xml:space="preserve">                                              </w:t>
            </w:r>
            <w:r>
              <w:rPr>
                <w:rFonts w:ascii="宋体" w:hAnsi="宋体" w:cs="宋体"/>
                <w:kern w:val="0"/>
                <w:sz w:val="24"/>
                <w:szCs w:val="24"/>
                <w:lang w:bidi="hi-IN"/>
              </w:rPr>
              <w:t>单位：人</w:t>
            </w:r>
          </w:p>
        </w:tc>
      </w:tr>
      <w:tr>
        <w:tblPrEx>
          <w:tblCellMar>
            <w:top w:w="0" w:type="dxa"/>
            <w:left w:w="108" w:type="dxa"/>
            <w:bottom w:w="0" w:type="dxa"/>
            <w:right w:w="108" w:type="dxa"/>
          </w:tblCellMar>
        </w:tblPrEx>
        <w:trPr>
          <w:trHeight w:val="285" w:hRule="atLeast"/>
          <w:jc w:val="center"/>
        </w:trPr>
        <w:tc>
          <w:tcPr>
            <w:tcW w:w="2124"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cs="宋体"/>
                <w:b/>
                <w:bCs/>
                <w:kern w:val="0"/>
                <w:sz w:val="24"/>
                <w:szCs w:val="24"/>
                <w:lang w:bidi="hi-IN"/>
              </w:rPr>
              <w:t>人才储备</w:t>
            </w:r>
          </w:p>
        </w:tc>
        <w:tc>
          <w:tcPr>
            <w:tcW w:w="1278" w:type="dxa"/>
            <w:tcBorders>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eastAsia="宋体" w:cs="宋体"/>
                <w:b/>
                <w:bCs/>
                <w:kern w:val="0"/>
                <w:sz w:val="24"/>
                <w:szCs w:val="24"/>
                <w:lang w:bidi="hi-IN"/>
              </w:rPr>
              <w:t>2017</w:t>
            </w:r>
            <w:r>
              <w:rPr>
                <w:rFonts w:ascii="宋体" w:hAnsi="宋体" w:cs="宋体"/>
                <w:b/>
                <w:bCs/>
                <w:kern w:val="0"/>
                <w:sz w:val="24"/>
                <w:szCs w:val="24"/>
                <w:lang w:bidi="hi-IN"/>
              </w:rPr>
              <w:t>年</w:t>
            </w:r>
          </w:p>
        </w:tc>
        <w:tc>
          <w:tcPr>
            <w:tcW w:w="1559" w:type="dxa"/>
            <w:tcBorders>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eastAsia="宋体" w:cs="宋体"/>
                <w:b/>
                <w:bCs/>
                <w:kern w:val="0"/>
                <w:sz w:val="24"/>
                <w:szCs w:val="24"/>
                <w:lang w:bidi="hi-IN"/>
              </w:rPr>
              <w:t>2018</w:t>
            </w:r>
            <w:r>
              <w:rPr>
                <w:rFonts w:ascii="宋体" w:hAnsi="宋体" w:cs="宋体"/>
                <w:b/>
                <w:bCs/>
                <w:kern w:val="0"/>
                <w:sz w:val="24"/>
                <w:szCs w:val="24"/>
                <w:lang w:bidi="hi-IN"/>
              </w:rPr>
              <w:t>年</w:t>
            </w:r>
          </w:p>
        </w:tc>
        <w:tc>
          <w:tcPr>
            <w:tcW w:w="1417" w:type="dxa"/>
            <w:tcBorders>
              <w:bottom w:val="single" w:color="000000" w:sz="4" w:space="0"/>
              <w:right w:val="single" w:color="000000" w:sz="4" w:space="0"/>
            </w:tcBorders>
            <w:shd w:val="clear" w:color="auto" w:fill="auto"/>
            <w:vAlign w:val="center"/>
          </w:tcPr>
          <w:p>
            <w:pPr>
              <w:jc w:val="center"/>
              <w:rPr>
                <w:rFonts w:ascii="宋体" w:hAnsi="宋体" w:eastAsia="宋体" w:cs="宋体"/>
                <w:b/>
                <w:bCs/>
                <w:kern w:val="0"/>
                <w:sz w:val="24"/>
                <w:szCs w:val="24"/>
              </w:rPr>
            </w:pPr>
            <w:r>
              <w:rPr>
                <w:rFonts w:ascii="宋体" w:hAnsi="宋体" w:eastAsia="宋体" w:cs="宋体"/>
                <w:b/>
                <w:bCs/>
                <w:kern w:val="0"/>
                <w:sz w:val="24"/>
                <w:szCs w:val="24"/>
                <w:lang w:bidi="hi-IN"/>
              </w:rPr>
              <w:t>2019</w:t>
            </w:r>
            <w:r>
              <w:rPr>
                <w:rFonts w:ascii="宋体" w:hAnsi="宋体" w:cs="宋体"/>
                <w:b/>
                <w:bCs/>
                <w:kern w:val="0"/>
                <w:sz w:val="24"/>
                <w:szCs w:val="24"/>
                <w:lang w:bidi="hi-IN"/>
              </w:rPr>
              <w:t>年</w:t>
            </w:r>
          </w:p>
        </w:tc>
        <w:tc>
          <w:tcPr>
            <w:tcW w:w="1610" w:type="dxa"/>
            <w:tcBorders>
              <w:bottom w:val="single" w:color="000000" w:sz="4" w:space="0"/>
              <w:right w:val="single" w:color="000000" w:sz="4" w:space="0"/>
            </w:tcBorders>
          </w:tcPr>
          <w:p>
            <w:pPr>
              <w:jc w:val="center"/>
              <w:rPr>
                <w:rFonts w:ascii="宋体" w:hAnsi="宋体" w:eastAsia="宋体" w:cs="宋体"/>
                <w:b/>
                <w:bCs/>
                <w:kern w:val="0"/>
                <w:sz w:val="24"/>
                <w:szCs w:val="24"/>
              </w:rPr>
            </w:pPr>
            <w:r>
              <w:rPr>
                <w:rFonts w:ascii="宋体" w:hAnsi="宋体" w:cs="宋体"/>
                <w:b/>
                <w:bCs/>
                <w:kern w:val="0"/>
                <w:sz w:val="24"/>
                <w:szCs w:val="24"/>
                <w:lang w:bidi="hi-IN"/>
              </w:rPr>
              <w:t>比上年增长</w:t>
            </w:r>
            <w:r>
              <w:rPr>
                <w:rFonts w:ascii="宋体" w:hAnsi="宋体" w:eastAsia="宋体" w:cs="宋体"/>
                <w:b/>
                <w:bCs/>
                <w:kern w:val="0"/>
                <w:sz w:val="24"/>
                <w:szCs w:val="24"/>
                <w:lang w:bidi="hi-IN"/>
              </w:rPr>
              <w:t>%</w:t>
            </w:r>
          </w:p>
        </w:tc>
      </w:tr>
      <w:tr>
        <w:tblPrEx>
          <w:tblCellMar>
            <w:top w:w="0" w:type="dxa"/>
            <w:left w:w="108" w:type="dxa"/>
            <w:bottom w:w="0" w:type="dxa"/>
            <w:right w:w="108" w:type="dxa"/>
          </w:tblCellMar>
        </w:tblPrEx>
        <w:trPr>
          <w:trHeight w:val="285" w:hRule="atLeast"/>
          <w:jc w:val="center"/>
        </w:trPr>
        <w:tc>
          <w:tcPr>
            <w:tcW w:w="2124"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博士学历</w:t>
            </w:r>
          </w:p>
        </w:tc>
        <w:tc>
          <w:tcPr>
            <w:tcW w:w="1278"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16</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20</w:t>
            </w:r>
          </w:p>
        </w:tc>
        <w:tc>
          <w:tcPr>
            <w:tcW w:w="1417"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22</w:t>
            </w:r>
          </w:p>
        </w:tc>
        <w:tc>
          <w:tcPr>
            <w:tcW w:w="1610" w:type="dxa"/>
            <w:tcBorders>
              <w:bottom w:val="single" w:color="000000" w:sz="4" w:space="0"/>
              <w:right w:val="single" w:color="000000" w:sz="4" w:space="0"/>
            </w:tcBorders>
          </w:tcPr>
          <w:p>
            <w:pPr>
              <w:jc w:val="right"/>
              <w:rPr>
                <w:rFonts w:ascii="宋体" w:hAnsi="宋体" w:eastAsia="宋体" w:cs="宋体"/>
                <w:kern w:val="0"/>
                <w:sz w:val="24"/>
                <w:szCs w:val="24"/>
              </w:rPr>
            </w:pPr>
            <w:r>
              <w:rPr>
                <w:rFonts w:ascii="宋体" w:hAnsi="宋体" w:eastAsia="宋体" w:cs="宋体"/>
                <w:kern w:val="0"/>
                <w:sz w:val="24"/>
                <w:szCs w:val="24"/>
                <w:lang w:bidi="hi-IN"/>
              </w:rPr>
              <w:t>10</w:t>
            </w:r>
          </w:p>
        </w:tc>
      </w:tr>
      <w:tr>
        <w:tblPrEx>
          <w:tblCellMar>
            <w:top w:w="0" w:type="dxa"/>
            <w:left w:w="108" w:type="dxa"/>
            <w:bottom w:w="0" w:type="dxa"/>
            <w:right w:w="108" w:type="dxa"/>
          </w:tblCellMar>
        </w:tblPrEx>
        <w:trPr>
          <w:trHeight w:val="283" w:hRule="atLeast"/>
          <w:jc w:val="center"/>
        </w:trPr>
        <w:tc>
          <w:tcPr>
            <w:tcW w:w="2124"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硕士学历</w:t>
            </w:r>
          </w:p>
        </w:tc>
        <w:tc>
          <w:tcPr>
            <w:tcW w:w="1278"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331</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381</w:t>
            </w:r>
          </w:p>
        </w:tc>
        <w:tc>
          <w:tcPr>
            <w:tcW w:w="1417"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421</w:t>
            </w:r>
          </w:p>
        </w:tc>
        <w:tc>
          <w:tcPr>
            <w:tcW w:w="1610" w:type="dxa"/>
            <w:tcBorders>
              <w:bottom w:val="single" w:color="000000" w:sz="4" w:space="0"/>
              <w:right w:val="single" w:color="000000" w:sz="4" w:space="0"/>
            </w:tcBorders>
          </w:tcPr>
          <w:p>
            <w:pPr>
              <w:jc w:val="right"/>
              <w:rPr>
                <w:rFonts w:ascii="宋体" w:hAnsi="宋体" w:eastAsia="宋体" w:cs="宋体"/>
                <w:kern w:val="0"/>
                <w:sz w:val="24"/>
                <w:szCs w:val="24"/>
              </w:rPr>
            </w:pPr>
            <w:r>
              <w:rPr>
                <w:rFonts w:ascii="宋体" w:hAnsi="宋体" w:eastAsia="宋体" w:cs="宋体"/>
                <w:kern w:val="0"/>
                <w:sz w:val="24"/>
                <w:szCs w:val="24"/>
                <w:lang w:bidi="hi-IN"/>
              </w:rPr>
              <w:t>10.5</w:t>
            </w:r>
          </w:p>
        </w:tc>
      </w:tr>
      <w:tr>
        <w:tblPrEx>
          <w:tblCellMar>
            <w:top w:w="0" w:type="dxa"/>
            <w:left w:w="108" w:type="dxa"/>
            <w:bottom w:w="0" w:type="dxa"/>
            <w:right w:w="108" w:type="dxa"/>
          </w:tblCellMar>
        </w:tblPrEx>
        <w:trPr>
          <w:trHeight w:val="285" w:hRule="atLeast"/>
          <w:jc w:val="center"/>
        </w:trPr>
        <w:tc>
          <w:tcPr>
            <w:tcW w:w="2124"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本科学历</w:t>
            </w:r>
          </w:p>
        </w:tc>
        <w:tc>
          <w:tcPr>
            <w:tcW w:w="1278"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11800</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13100</w:t>
            </w:r>
          </w:p>
        </w:tc>
        <w:tc>
          <w:tcPr>
            <w:tcW w:w="1417"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14300</w:t>
            </w:r>
          </w:p>
        </w:tc>
        <w:tc>
          <w:tcPr>
            <w:tcW w:w="1610" w:type="dxa"/>
            <w:tcBorders>
              <w:bottom w:val="single" w:color="000000" w:sz="4" w:space="0"/>
              <w:right w:val="single" w:color="000000" w:sz="4" w:space="0"/>
            </w:tcBorders>
          </w:tcPr>
          <w:p>
            <w:pPr>
              <w:jc w:val="right"/>
              <w:rPr>
                <w:rFonts w:ascii="宋体" w:hAnsi="宋体" w:eastAsia="宋体" w:cs="宋体"/>
                <w:kern w:val="0"/>
                <w:sz w:val="24"/>
                <w:szCs w:val="24"/>
              </w:rPr>
            </w:pPr>
            <w:r>
              <w:rPr>
                <w:rFonts w:ascii="宋体" w:hAnsi="宋体" w:eastAsia="宋体" w:cs="宋体"/>
                <w:kern w:val="0"/>
                <w:sz w:val="24"/>
                <w:szCs w:val="24"/>
                <w:lang w:bidi="hi-IN"/>
              </w:rPr>
              <w:t>9.16</w:t>
            </w:r>
          </w:p>
        </w:tc>
      </w:tr>
      <w:tr>
        <w:tblPrEx>
          <w:tblCellMar>
            <w:top w:w="0" w:type="dxa"/>
            <w:left w:w="108" w:type="dxa"/>
            <w:bottom w:w="0" w:type="dxa"/>
            <w:right w:w="108" w:type="dxa"/>
          </w:tblCellMar>
        </w:tblPrEx>
        <w:trPr>
          <w:trHeight w:val="285" w:hRule="atLeast"/>
          <w:jc w:val="center"/>
        </w:trPr>
        <w:tc>
          <w:tcPr>
            <w:tcW w:w="2124"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大专学历</w:t>
            </w:r>
          </w:p>
        </w:tc>
        <w:tc>
          <w:tcPr>
            <w:tcW w:w="1278"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13100</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14400</w:t>
            </w:r>
          </w:p>
        </w:tc>
        <w:tc>
          <w:tcPr>
            <w:tcW w:w="1417"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15800</w:t>
            </w:r>
          </w:p>
        </w:tc>
        <w:tc>
          <w:tcPr>
            <w:tcW w:w="1610" w:type="dxa"/>
            <w:tcBorders>
              <w:bottom w:val="single" w:color="000000" w:sz="4" w:space="0"/>
              <w:right w:val="single" w:color="000000" w:sz="4" w:space="0"/>
            </w:tcBorders>
          </w:tcPr>
          <w:p>
            <w:pPr>
              <w:jc w:val="right"/>
              <w:rPr>
                <w:rFonts w:ascii="宋体" w:hAnsi="宋体" w:eastAsia="宋体" w:cs="宋体"/>
                <w:kern w:val="0"/>
                <w:sz w:val="24"/>
                <w:szCs w:val="24"/>
              </w:rPr>
            </w:pPr>
            <w:r>
              <w:rPr>
                <w:rFonts w:ascii="宋体" w:hAnsi="宋体" w:eastAsia="宋体" w:cs="宋体"/>
                <w:kern w:val="0"/>
                <w:sz w:val="24"/>
                <w:szCs w:val="24"/>
                <w:lang w:bidi="hi-IN"/>
              </w:rPr>
              <w:t>9.72</w:t>
            </w:r>
          </w:p>
        </w:tc>
      </w:tr>
      <w:tr>
        <w:tblPrEx>
          <w:tblCellMar>
            <w:top w:w="0" w:type="dxa"/>
            <w:left w:w="108" w:type="dxa"/>
            <w:bottom w:w="0" w:type="dxa"/>
            <w:right w:w="108" w:type="dxa"/>
          </w:tblCellMar>
        </w:tblPrEx>
        <w:trPr>
          <w:trHeight w:val="285" w:hRule="atLeast"/>
          <w:jc w:val="center"/>
        </w:trPr>
        <w:tc>
          <w:tcPr>
            <w:tcW w:w="2124"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kern w:val="0"/>
                <w:sz w:val="24"/>
                <w:szCs w:val="24"/>
              </w:rPr>
            </w:pPr>
            <w:r>
              <w:rPr>
                <w:rFonts w:ascii="宋体" w:hAnsi="宋体" w:cs="宋体"/>
                <w:kern w:val="0"/>
                <w:sz w:val="24"/>
                <w:szCs w:val="24"/>
                <w:lang w:bidi="hi-IN"/>
              </w:rPr>
              <w:t>合计</w:t>
            </w:r>
          </w:p>
        </w:tc>
        <w:tc>
          <w:tcPr>
            <w:tcW w:w="1278"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25247</w:t>
            </w:r>
          </w:p>
        </w:tc>
        <w:tc>
          <w:tcPr>
            <w:tcW w:w="1559"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27901</w:t>
            </w:r>
          </w:p>
        </w:tc>
        <w:tc>
          <w:tcPr>
            <w:tcW w:w="1417" w:type="dxa"/>
            <w:tcBorders>
              <w:bottom w:val="single" w:color="000000" w:sz="4" w:space="0"/>
              <w:right w:val="single" w:color="000000" w:sz="4" w:space="0"/>
            </w:tcBorders>
            <w:shd w:val="clear" w:color="auto" w:fill="auto"/>
            <w:vAlign w:val="center"/>
          </w:tcPr>
          <w:p>
            <w:pPr>
              <w:jc w:val="right"/>
              <w:rPr>
                <w:rFonts w:ascii="宋体" w:hAnsi="宋体" w:eastAsia="宋体" w:cs="宋体"/>
                <w:kern w:val="0"/>
                <w:sz w:val="24"/>
                <w:szCs w:val="24"/>
              </w:rPr>
            </w:pPr>
            <w:r>
              <w:rPr>
                <w:rFonts w:ascii="宋体" w:hAnsi="宋体" w:eastAsia="宋体" w:cs="宋体"/>
                <w:kern w:val="0"/>
                <w:sz w:val="24"/>
                <w:szCs w:val="24"/>
                <w:lang w:bidi="hi-IN"/>
              </w:rPr>
              <w:t>30543</w:t>
            </w:r>
          </w:p>
        </w:tc>
        <w:tc>
          <w:tcPr>
            <w:tcW w:w="1610" w:type="dxa"/>
            <w:tcBorders>
              <w:bottom w:val="single" w:color="000000" w:sz="4" w:space="0"/>
              <w:right w:val="single" w:color="000000" w:sz="4" w:space="0"/>
            </w:tcBorders>
          </w:tcPr>
          <w:p>
            <w:pPr>
              <w:jc w:val="right"/>
              <w:rPr>
                <w:rFonts w:ascii="宋体" w:hAnsi="宋体" w:eastAsia="宋体" w:cs="宋体"/>
                <w:kern w:val="0"/>
                <w:sz w:val="24"/>
                <w:szCs w:val="24"/>
              </w:rPr>
            </w:pPr>
            <w:r>
              <w:rPr>
                <w:rFonts w:ascii="宋体" w:hAnsi="宋体" w:eastAsia="宋体" w:cs="宋体"/>
                <w:kern w:val="0"/>
                <w:sz w:val="24"/>
                <w:szCs w:val="24"/>
                <w:lang w:bidi="hi-IN"/>
              </w:rPr>
              <w:t>9.47</w:t>
            </w:r>
          </w:p>
        </w:tc>
      </w:tr>
    </w:tbl>
    <w:p>
      <w:pPr>
        <w:pStyle w:val="5"/>
        <w:spacing w:before="0" w:after="0" w:line="560" w:lineRule="exact"/>
        <w:ind w:firstLine="643" w:firstLineChars="200"/>
        <w:rPr>
          <w:rFonts w:hint="eastAsia" w:ascii="仿宋" w:hAnsi="仿宋" w:eastAsia="仿宋" w:cs="仿宋"/>
          <w:kern w:val="0"/>
          <w:sz w:val="32"/>
          <w:szCs w:val="32"/>
        </w:rPr>
      </w:pPr>
      <w:r>
        <w:rPr>
          <w:rFonts w:hint="eastAsia" w:ascii="仿宋" w:hAnsi="仿宋" w:eastAsia="仿宋" w:cs="仿宋"/>
          <w:kern w:val="0"/>
          <w:sz w:val="32"/>
          <w:szCs w:val="32"/>
        </w:rPr>
        <w:t>3.发挥引进人才带动作用</w:t>
      </w:r>
    </w:p>
    <w:p>
      <w:pPr>
        <w:pStyle w:val="6"/>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2019年从北京引进一位医学院士，并给予建立柔性院士工作站补助。该院士引进后带动县人民医院12名医生赴院士工作室研习，有效促进了本土医学人才的培养。2019年县人民医院由二级院评为三级医院，从大内科中新设胆胰科，形成灌云特色专科，并建立了专家会诊中心。</w:t>
      </w:r>
    </w:p>
    <w:p>
      <w:pPr>
        <w:autoSpaceDE w:val="0"/>
        <w:autoSpaceDN w:val="0"/>
        <w:adjustRightInd w:val="0"/>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引进人才周冬冬，创办利民造纸，获评市双创人才，2019年产值2亿元；引进人才卓智勇，创办品品鲜公司，获评市双创人才，生产食用菌，2019年已形成产能，带动农民稳岗就业，社会经济效益明显。</w:t>
      </w:r>
    </w:p>
    <w:p>
      <w:pPr>
        <w:pStyle w:val="5"/>
        <w:spacing w:before="0" w:after="0" w:line="560" w:lineRule="exact"/>
        <w:ind w:firstLine="643" w:firstLineChars="200"/>
        <w:rPr>
          <w:rFonts w:hint="eastAsia" w:ascii="仿宋" w:hAnsi="仿宋" w:eastAsia="仿宋" w:cs="仿宋"/>
          <w:kern w:val="0"/>
          <w:sz w:val="32"/>
          <w:szCs w:val="32"/>
        </w:rPr>
      </w:pPr>
      <w:r>
        <w:rPr>
          <w:rFonts w:hint="eastAsia" w:ascii="仿宋" w:hAnsi="仿宋" w:eastAsia="仿宋" w:cs="仿宋"/>
          <w:color w:val="000000"/>
          <w:kern w:val="0"/>
          <w:sz w:val="32"/>
          <w:szCs w:val="32"/>
        </w:rPr>
        <w:t>4.</w:t>
      </w:r>
      <w:r>
        <w:rPr>
          <w:rFonts w:hint="eastAsia" w:ascii="仿宋" w:hAnsi="仿宋" w:eastAsia="仿宋" w:cs="仿宋"/>
          <w:kern w:val="0"/>
          <w:sz w:val="32"/>
          <w:szCs w:val="32"/>
        </w:rPr>
        <w:t>厚实地方经济发展人才基础</w:t>
      </w:r>
    </w:p>
    <w:p>
      <w:pPr>
        <w:spacing w:line="560" w:lineRule="exact"/>
        <w:ind w:firstLine="643" w:firstLineChars="200"/>
        <w:jc w:val="left"/>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组织人才引培活动</w:t>
      </w:r>
      <w:r>
        <w:rPr>
          <w:rFonts w:hint="eastAsia" w:ascii="仿宋" w:hAnsi="仿宋" w:eastAsia="仿宋" w:cs="仿宋"/>
          <w:color w:val="000000"/>
          <w:kern w:val="0"/>
          <w:sz w:val="32"/>
          <w:szCs w:val="32"/>
        </w:rPr>
        <w:t>。2019年度举办灌云人才集市、科技鹊桥会等人才招引活动20场、举办创业大赛2场、举办行业技能培训、讲座等活动50多场。</w:t>
      </w:r>
    </w:p>
    <w:p>
      <w:pPr>
        <w:spacing w:line="560" w:lineRule="exact"/>
        <w:ind w:firstLine="643" w:firstLineChars="200"/>
        <w:jc w:val="left"/>
        <w:rPr>
          <w:rFonts w:hint="eastAsia" w:ascii="仿宋" w:hAnsi="仿宋" w:eastAsia="仿宋" w:cs="仿宋"/>
          <w:color w:val="000000"/>
          <w:kern w:val="0"/>
          <w:sz w:val="32"/>
          <w:szCs w:val="32"/>
        </w:rPr>
      </w:pPr>
      <w:r>
        <w:rPr>
          <w:rFonts w:hint="eastAsia" w:ascii="仿宋" w:hAnsi="仿宋" w:eastAsia="仿宋" w:cs="仿宋"/>
          <w:b/>
          <w:color w:val="000000"/>
          <w:kern w:val="0"/>
          <w:sz w:val="32"/>
          <w:szCs w:val="32"/>
        </w:rPr>
        <w:t>创建乡土人才示范基地</w:t>
      </w:r>
      <w:r>
        <w:rPr>
          <w:rFonts w:hint="eastAsia" w:ascii="仿宋" w:hAnsi="仿宋" w:eastAsia="仿宋" w:cs="仿宋"/>
          <w:color w:val="000000"/>
          <w:kern w:val="0"/>
          <w:sz w:val="32"/>
          <w:szCs w:val="32"/>
        </w:rPr>
        <w:t>。开展第十一批“县级专业技术拔尖人才”评选和131人才评选，分别评选出13名、72名，并予以表彰奖励。培育乡土人才创业典型，创建394家乡土人才创业示范基地，为地方经济发展厚实了人才基础。</w:t>
      </w:r>
    </w:p>
    <w:p>
      <w:pPr>
        <w:suppressAutoHyphens w:val="0"/>
        <w:spacing w:line="570" w:lineRule="exact"/>
        <w:ind w:firstLine="640" w:firstLineChars="200"/>
        <w:outlineLvl w:val="0"/>
        <w:rPr>
          <w:rFonts w:hint="eastAsia" w:ascii="方正黑体_GBK" w:hAnsi="方正黑体_GBK" w:eastAsia="方正黑体_GBK" w:cs="方正黑体_GBK"/>
          <w:bCs/>
          <w:color w:val="auto"/>
          <w:sz w:val="32"/>
          <w:szCs w:val="32"/>
        </w:rPr>
      </w:pPr>
      <w:bookmarkStart w:id="66" w:name="_Toc49613873"/>
      <w:bookmarkStart w:id="67" w:name="_Toc11404"/>
      <w:r>
        <w:rPr>
          <w:rFonts w:hint="eastAsia" w:ascii="方正黑体_GBK" w:hAnsi="方正黑体_GBK" w:eastAsia="方正黑体_GBK" w:cs="方正黑体_GBK"/>
          <w:bCs/>
          <w:color w:val="auto"/>
          <w:kern w:val="2"/>
          <w:sz w:val="32"/>
          <w:szCs w:val="32"/>
        </w:rPr>
        <w:t>七、</w:t>
      </w:r>
      <w:r>
        <w:rPr>
          <w:rFonts w:hint="eastAsia" w:ascii="方正黑体_GBK" w:hAnsi="方正黑体_GBK" w:eastAsia="方正黑体_GBK" w:cs="方正黑体_GBK"/>
          <w:bCs/>
          <w:color w:val="auto"/>
          <w:sz w:val="32"/>
          <w:szCs w:val="32"/>
        </w:rPr>
        <w:t>存在的主要问题</w:t>
      </w:r>
      <w:bookmarkEnd w:id="66"/>
      <w:bookmarkEnd w:id="67"/>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2019年灌云县人才项目，有效促进了灌云县人才总量增长。但财政专项资金项目的实施全程中仍存在一些问题，主要表现在以下几个方面：</w:t>
      </w:r>
    </w:p>
    <w:p>
      <w:pPr>
        <w:suppressAutoHyphens w:val="0"/>
        <w:spacing w:line="570" w:lineRule="exact"/>
        <w:ind w:left="0"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68" w:name="_Toc202"/>
      <w:r>
        <w:rPr>
          <w:rFonts w:hint="eastAsia" w:ascii="方正楷体_GBK" w:hAnsi="方正楷体_GBK" w:eastAsia="方正楷体_GBK" w:cs="方正楷体_GBK"/>
          <w:bCs/>
          <w:color w:val="auto"/>
          <w:kern w:val="2"/>
          <w:sz w:val="32"/>
          <w:szCs w:val="32"/>
          <w:shd w:val="clear" w:color="auto" w:fill="FFFFFF"/>
        </w:rPr>
        <w:t>（一）人才专项资金使用率不高</w:t>
      </w:r>
      <w:bookmarkEnd w:id="68"/>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财政专项资金是由本级财政安排、上级政府和有关部门拨入、以及经批准按规定渠道收取的具有指定用途、专款专用的财政资金。2019年灌云县人才项目财政专项资金1000万元，2018年度人才专项资金结转691.22万元，人才项目预算资金共1691.22万元，实际支出仅838.12万元，资金使用率49.56%，实际支出与资金预算差异较大。有250万元人才住房补贴未按规定及时发放。资金使用率不高，不符合《江苏省省级预算管理暂行办法》第六条相关规定。</w:t>
      </w:r>
    </w:p>
    <w:p>
      <w:pPr>
        <w:suppressAutoHyphens w:val="0"/>
        <w:spacing w:line="570" w:lineRule="exact"/>
        <w:ind w:left="0"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69" w:name="_Toc1933"/>
      <w:r>
        <w:rPr>
          <w:rFonts w:hint="eastAsia" w:ascii="方正楷体_GBK" w:hAnsi="方正楷体_GBK" w:eastAsia="方正楷体_GBK" w:cs="方正楷体_GBK"/>
          <w:bCs/>
          <w:color w:val="auto"/>
          <w:kern w:val="2"/>
          <w:sz w:val="32"/>
          <w:szCs w:val="32"/>
          <w:shd w:val="clear" w:color="auto" w:fill="FFFFFF"/>
        </w:rPr>
        <w:t>（二）少数项目支出不合规</w:t>
      </w:r>
      <w:bookmarkEnd w:id="69"/>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灌云县2019年度少数人才资金使用不合规，在人才专项资金中报销的费用存在报销发票抬头与收款方不一致情况；少数报销凭证附件不够齐全；部分支出凭证发票无费用明细，例如2019年8月1日，报销人才专项资金5.77万元，其中：科技镇长团购电动车费用3.3万元等。</w:t>
      </w:r>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70" w:name="_Toc6715"/>
      <w:r>
        <w:rPr>
          <w:rFonts w:hint="eastAsia" w:ascii="方正楷体_GBK" w:hAnsi="方正楷体_GBK" w:eastAsia="方正楷体_GBK" w:cs="方正楷体_GBK"/>
          <w:bCs/>
          <w:color w:val="auto"/>
          <w:kern w:val="2"/>
          <w:sz w:val="32"/>
          <w:szCs w:val="32"/>
          <w:shd w:val="clear" w:color="auto" w:fill="FFFFFF"/>
        </w:rPr>
        <w:t>（三）少数人才项目实施质量有待提高</w:t>
      </w:r>
      <w:bookmarkEnd w:id="70"/>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灌云县人才项目政策到位，但仅从资金使用上就可以看出，人才项目工作开展还存在不足之处，2019年度人才引进津贴、租购房补贴预算资金250万元，实际未发放。县评选的省双创人才尽管上报，但未获批，表明引进人才质量有待进一步提高。支持某化工企业人才因化工整治，未能有效发挥作用。</w:t>
      </w:r>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71" w:name="_Toc6396"/>
      <w:r>
        <w:rPr>
          <w:rFonts w:hint="eastAsia" w:ascii="方正楷体_GBK" w:hAnsi="方正楷体_GBK" w:eastAsia="方正楷体_GBK" w:cs="方正楷体_GBK"/>
          <w:bCs/>
          <w:color w:val="auto"/>
          <w:kern w:val="2"/>
          <w:sz w:val="32"/>
          <w:szCs w:val="32"/>
          <w:shd w:val="clear"/>
          <w:lang w:eastAsia="zh-CN"/>
        </w:rPr>
        <w:t>（</w:t>
      </w:r>
      <w:r>
        <w:rPr>
          <w:rFonts w:hint="eastAsia" w:ascii="方正楷体_GBK" w:hAnsi="方正楷体_GBK" w:eastAsia="方正楷体_GBK" w:cs="方正楷体_GBK"/>
          <w:bCs/>
          <w:color w:val="auto"/>
          <w:kern w:val="2"/>
          <w:sz w:val="32"/>
          <w:szCs w:val="32"/>
          <w:shd w:val="clear"/>
          <w:lang w:val="en-US" w:eastAsia="zh-CN"/>
        </w:rPr>
        <w:t>四</w:t>
      </w:r>
      <w:r>
        <w:rPr>
          <w:rFonts w:hint="eastAsia" w:ascii="方正楷体_GBK" w:hAnsi="方正楷体_GBK" w:eastAsia="方正楷体_GBK" w:cs="方正楷体_GBK"/>
          <w:bCs/>
          <w:color w:val="auto"/>
          <w:kern w:val="2"/>
          <w:sz w:val="32"/>
          <w:szCs w:val="32"/>
          <w:shd w:val="clear"/>
          <w:lang w:eastAsia="zh-CN"/>
        </w:rPr>
        <w:t>）</w:t>
      </w:r>
      <w:r>
        <w:rPr>
          <w:rFonts w:hint="eastAsia" w:ascii="方正楷体_GBK" w:hAnsi="方正楷体_GBK" w:eastAsia="方正楷体_GBK" w:cs="方正楷体_GBK"/>
          <w:bCs/>
          <w:color w:val="auto"/>
          <w:kern w:val="2"/>
          <w:sz w:val="32"/>
          <w:szCs w:val="32"/>
          <w:shd w:val="clear" w:color="auto" w:fill="FFFFFF"/>
        </w:rPr>
        <w:t>引进人才有流失的情况</w:t>
      </w:r>
      <w:bookmarkEnd w:id="71"/>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根据评价情况灌云县人才引进政策实施后，2019年引进大学生、硕士生1800多名，根据查核社保信息有250多人离职，流向苏南等地，影响了人才引培效果。</w:t>
      </w:r>
    </w:p>
    <w:p>
      <w:pPr>
        <w:suppressAutoHyphens w:val="0"/>
        <w:spacing w:line="570" w:lineRule="exact"/>
        <w:ind w:firstLine="640" w:firstLineChars="200"/>
        <w:outlineLvl w:val="0"/>
        <w:rPr>
          <w:rFonts w:hint="eastAsia" w:ascii="方正黑体_GBK" w:hAnsi="方正黑体_GBK" w:eastAsia="方正黑体_GBK" w:cs="方正黑体_GBK"/>
          <w:bCs/>
          <w:color w:val="auto"/>
          <w:kern w:val="2"/>
          <w:sz w:val="32"/>
          <w:szCs w:val="32"/>
          <w:shd w:val="clear" w:color="auto" w:fill="FFFFFF"/>
        </w:rPr>
      </w:pPr>
      <w:bookmarkStart w:id="72" w:name="_Toc13642"/>
      <w:bookmarkStart w:id="73" w:name="_Toc49613874"/>
      <w:r>
        <w:rPr>
          <w:rFonts w:hint="eastAsia" w:ascii="方正黑体_GBK" w:hAnsi="方正黑体_GBK" w:eastAsia="方正黑体_GBK" w:cs="方正黑体_GBK"/>
          <w:bCs/>
          <w:color w:val="auto"/>
          <w:kern w:val="2"/>
          <w:sz w:val="32"/>
          <w:szCs w:val="32"/>
          <w:shd w:val="clear" w:color="auto" w:fill="FFFFFF"/>
        </w:rPr>
        <w:t>八、评价建议</w:t>
      </w:r>
      <w:bookmarkEnd w:id="72"/>
      <w:bookmarkEnd w:id="73"/>
    </w:p>
    <w:p>
      <w:pPr>
        <w:suppressAutoHyphens w:val="0"/>
        <w:spacing w:line="570" w:lineRule="exact"/>
        <w:ind w:left="0"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74" w:name="_Toc8159"/>
      <w:bookmarkStart w:id="75" w:name="_Toc49613875"/>
      <w:r>
        <w:rPr>
          <w:rFonts w:hint="eastAsia" w:ascii="方正楷体_GBK" w:hAnsi="方正楷体_GBK" w:eastAsia="方正楷体_GBK" w:cs="方正楷体_GBK"/>
          <w:bCs/>
          <w:color w:val="auto"/>
          <w:kern w:val="2"/>
          <w:sz w:val="32"/>
          <w:szCs w:val="32"/>
          <w:shd w:val="clear" w:color="auto" w:fill="FFFFFF"/>
        </w:rPr>
        <w:t>（一）强化人才资金管理，提升财政资金使用效率</w:t>
      </w:r>
      <w:bookmarkEnd w:id="74"/>
    </w:p>
    <w:p>
      <w:pPr>
        <w:pStyle w:val="4"/>
        <w:spacing w:before="0" w:after="0" w:line="560" w:lineRule="exact"/>
        <w:ind w:left="0" w:firstLine="643" w:firstLineChars="200"/>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rPr>
        <w:t>1.完善专项资金</w:t>
      </w:r>
      <w:bookmarkEnd w:id="75"/>
      <w:r>
        <w:rPr>
          <w:rFonts w:hint="eastAsia" w:ascii="仿宋" w:hAnsi="仿宋" w:eastAsia="仿宋" w:cs="仿宋"/>
          <w:kern w:val="0"/>
          <w:sz w:val="32"/>
          <w:szCs w:val="32"/>
          <w:shd w:val="clear" w:color="auto" w:fill="FFFFFF"/>
        </w:rPr>
        <w:t>管理措施</w:t>
      </w:r>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完善专项资金分配办法，一是按照《江苏省省级财政专项资金管理办法》和《江苏省省级项目库管理办法（试行）》（苏财规〔2011〕30号）规定的专项资金分配原则，条件成熟的项目逐步推行项目库管理，将每年组织申报项目的时间提前到当年年初或上年第四季度，以提高专项资金分配时效性。二是基于现有年度预算额度，按照专项资金管理办法有关规定，合理设置专项资金项目分配方案，在专项资金存续期间的各个预算年度均衡进行分配，规范预算安排，提高专项资金预算编制的科学化和精细化水平。</w:t>
      </w:r>
    </w:p>
    <w:p>
      <w:pPr>
        <w:pStyle w:val="4"/>
        <w:spacing w:before="0" w:after="0" w:line="560" w:lineRule="exact"/>
        <w:ind w:firstLine="643" w:firstLineChars="200"/>
        <w:rPr>
          <w:rFonts w:hint="eastAsia" w:ascii="仿宋" w:hAnsi="仿宋" w:eastAsia="仿宋" w:cs="仿宋"/>
          <w:kern w:val="0"/>
          <w:sz w:val="32"/>
          <w:szCs w:val="32"/>
          <w:shd w:val="clear" w:color="auto" w:fill="FFFFFF"/>
        </w:rPr>
      </w:pPr>
      <w:bookmarkStart w:id="76" w:name="_Toc49613876"/>
      <w:r>
        <w:rPr>
          <w:rFonts w:hint="eastAsia" w:ascii="仿宋" w:hAnsi="仿宋" w:eastAsia="仿宋" w:cs="仿宋"/>
          <w:kern w:val="0"/>
          <w:sz w:val="32"/>
          <w:szCs w:val="32"/>
          <w:shd w:val="clear" w:color="auto" w:fill="FFFFFF"/>
        </w:rPr>
        <w:t>2.完善专项资金绩效目标</w:t>
      </w:r>
      <w:bookmarkEnd w:id="76"/>
    </w:p>
    <w:p>
      <w:pPr>
        <w:autoSpaceDE w:val="0"/>
        <w:autoSpaceDN w:val="0"/>
        <w:spacing w:line="560" w:lineRule="exact"/>
        <w:ind w:firstLine="640" w:firstLineChars="200"/>
        <w:jc w:val="left"/>
        <w:rPr>
          <w:rFonts w:hint="eastAsia" w:ascii="仿宋" w:hAnsi="仿宋" w:eastAsia="仿宋" w:cs="仿宋"/>
          <w:color w:val="333333"/>
          <w:kern w:val="0"/>
          <w:sz w:val="32"/>
          <w:szCs w:val="32"/>
          <w:shd w:val="clear" w:color="auto" w:fill="FFFFFF"/>
        </w:rPr>
      </w:pPr>
      <w:r>
        <w:rPr>
          <w:rFonts w:hint="eastAsia" w:ascii="仿宋" w:hAnsi="仿宋" w:eastAsia="仿宋" w:cs="仿宋"/>
          <w:color w:val="333333"/>
          <w:kern w:val="0"/>
          <w:sz w:val="32"/>
          <w:szCs w:val="32"/>
          <w:shd w:val="clear" w:color="auto" w:fill="FFFFFF"/>
        </w:rPr>
        <w:t>建议进一步完善财政人才专项资金项目的绩效目标，既要关注项目立项和资金投入、项目管理和资金财务管理、又要注重项目产出质量和效果，专项资金项目实施效果和绩效水平，明确专项资金使用效果的考核标准，提高专项资金绩效水平。</w:t>
      </w:r>
    </w:p>
    <w:p>
      <w:pPr>
        <w:pStyle w:val="4"/>
        <w:spacing w:before="0" w:after="0" w:line="560" w:lineRule="exact"/>
        <w:ind w:firstLine="643" w:firstLineChars="200"/>
        <w:rPr>
          <w:rFonts w:hint="eastAsia" w:ascii="仿宋" w:hAnsi="仿宋" w:eastAsia="仿宋" w:cs="仿宋"/>
          <w:kern w:val="0"/>
          <w:sz w:val="32"/>
          <w:szCs w:val="32"/>
          <w:shd w:val="clear" w:color="auto" w:fill="FFFFFF"/>
        </w:rPr>
      </w:pPr>
      <w:r>
        <w:rPr>
          <w:rFonts w:hint="eastAsia" w:ascii="仿宋" w:hAnsi="仿宋" w:eastAsia="仿宋" w:cs="仿宋"/>
          <w:kern w:val="0"/>
          <w:sz w:val="32"/>
          <w:szCs w:val="32"/>
          <w:shd w:val="clear" w:color="auto" w:fill="FFFFFF"/>
          <w:lang w:eastAsia="zh-CN"/>
        </w:rPr>
        <w:t>3</w:t>
      </w:r>
      <w:r>
        <w:rPr>
          <w:rFonts w:hint="eastAsia" w:ascii="仿宋" w:hAnsi="仿宋" w:eastAsia="仿宋" w:cs="仿宋"/>
          <w:kern w:val="0"/>
          <w:sz w:val="32"/>
          <w:szCs w:val="32"/>
          <w:shd w:val="clear" w:color="auto" w:fill="FFFFFF"/>
          <w:lang w:val="en-US" w:eastAsia="zh-CN"/>
        </w:rPr>
        <w:t>.</w:t>
      </w:r>
      <w:r>
        <w:rPr>
          <w:rFonts w:hint="eastAsia" w:ascii="仿宋" w:hAnsi="仿宋" w:eastAsia="仿宋" w:cs="仿宋"/>
          <w:kern w:val="0"/>
          <w:sz w:val="32"/>
          <w:szCs w:val="32"/>
          <w:shd w:val="clear" w:color="auto" w:fill="FFFFFF"/>
        </w:rPr>
        <w:t>加强专项资金项目过程管理</w:t>
      </w:r>
    </w:p>
    <w:p>
      <w:pPr>
        <w:spacing w:line="560" w:lineRule="exact"/>
        <w:ind w:firstLine="640" w:firstLineChars="200"/>
        <w:rPr>
          <w:rFonts w:hint="eastAsia" w:ascii="仿宋" w:hAnsi="仿宋" w:eastAsia="仿宋" w:cs="仿宋"/>
          <w:bCs/>
          <w:kern w:val="0"/>
          <w:sz w:val="32"/>
          <w:szCs w:val="32"/>
        </w:rPr>
      </w:pPr>
      <w:r>
        <w:rPr>
          <w:rFonts w:hint="eastAsia" w:ascii="仿宋" w:hAnsi="仿宋" w:eastAsia="仿宋" w:cs="仿宋"/>
          <w:kern w:val="0"/>
          <w:sz w:val="32"/>
          <w:szCs w:val="32"/>
        </w:rPr>
        <w:t>进一步落实好人才政策，加强人才专项资金管理，严格执行专项资金管理办法、专项资金财务管理制度等法律法规，对不符合专项资金支出要求的款项不予列支，确保人才专项资金使用合法合规；县组织部门应当落实好人才政策，对财政安排的人才住房补贴，应落实到位；强化人才项目监管，按照“事前审核、事中检查、事后评价”的要求，对专项资金项目进行全过程监督管理；各项</w:t>
      </w:r>
      <w:r>
        <w:rPr>
          <w:rFonts w:hint="eastAsia" w:ascii="仿宋" w:hAnsi="仿宋" w:eastAsia="仿宋" w:cs="仿宋"/>
          <w:color w:val="000000"/>
          <w:spacing w:val="-6"/>
          <w:kern w:val="0"/>
          <w:sz w:val="32"/>
          <w:szCs w:val="32"/>
        </w:rPr>
        <w:t>目单位应妥善保管项目资料并及时归档，确保项目资料安全完整。</w:t>
      </w:r>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rPr>
      </w:pPr>
      <w:bookmarkStart w:id="77" w:name="_Toc17940"/>
      <w:r>
        <w:rPr>
          <w:rFonts w:hint="eastAsia" w:ascii="方正楷体_GBK" w:hAnsi="方正楷体_GBK" w:eastAsia="方正楷体_GBK" w:cs="方正楷体_GBK"/>
          <w:bCs/>
          <w:color w:val="auto"/>
          <w:kern w:val="2"/>
          <w:sz w:val="32"/>
          <w:szCs w:val="32"/>
          <w:shd w:val="clear" w:color="auto" w:fill="FFFFFF"/>
        </w:rPr>
        <w:t>（二）优化财政支持政策，进一步引进优秀人才</w:t>
      </w:r>
      <w:bookmarkEnd w:id="77"/>
    </w:p>
    <w:p>
      <w:pPr>
        <w:autoSpaceDE w:val="0"/>
        <w:autoSpaceDN w:val="0"/>
        <w:spacing w:line="560" w:lineRule="exact"/>
        <w:ind w:right="0"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灌云县是苏北人才流入薄弱县，人才引进难、留不住的情况较为突出，建议进一步争取省级人才政策向苏北倾斜，争取省级人才资金向灌云转移。</w:t>
      </w:r>
    </w:p>
    <w:p>
      <w:pPr>
        <w:autoSpaceDE w:val="0"/>
        <w:autoSpaceDN w:val="0"/>
        <w:spacing w:line="560" w:lineRule="exact"/>
        <w:ind w:right="0"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在落实县委县政府人才政策方面，进一步提高人才引培质量，财政支持方向上进一步加大柔性人才引进和合作支持力度，鼓励引进灌云本土人才回乡投资兴业。建议将拔尖人才奖、高层次人才奖励等类似项目纳入人才专项，设立大人才专项；整合不同部门资金，便于人才专项资金统筹使用，规范管理，提高人才专项资金的使用效益。</w:t>
      </w:r>
    </w:p>
    <w:p>
      <w:pPr>
        <w:autoSpaceDE w:val="0"/>
        <w:autoSpaceDN w:val="0"/>
        <w:spacing w:line="560" w:lineRule="exact"/>
        <w:ind w:right="0" w:firstLine="640" w:firstLineChars="200"/>
        <w:rPr>
          <w:rFonts w:hint="eastAsia" w:ascii="仿宋" w:hAnsi="仿宋" w:eastAsia="仿宋" w:cs="仿宋"/>
          <w:kern w:val="0"/>
          <w:sz w:val="32"/>
          <w:szCs w:val="32"/>
        </w:rPr>
      </w:pPr>
    </w:p>
    <w:p>
      <w:pPr>
        <w:suppressAutoHyphens w:val="0"/>
        <w:spacing w:line="570" w:lineRule="exact"/>
        <w:ind w:firstLine="640" w:firstLineChars="200"/>
        <w:outlineLvl w:val="1"/>
        <w:rPr>
          <w:rFonts w:hint="eastAsia" w:ascii="方正楷体_GBK" w:hAnsi="方正楷体_GBK" w:eastAsia="方正楷体_GBK" w:cs="方正楷体_GBK"/>
          <w:bCs/>
          <w:color w:val="auto"/>
          <w:kern w:val="2"/>
          <w:sz w:val="32"/>
          <w:szCs w:val="32"/>
          <w:shd w:val="clear" w:color="auto" w:fill="FFFFFF"/>
        </w:rPr>
      </w:pPr>
      <w:bookmarkStart w:id="78" w:name="_Toc29766"/>
      <w:r>
        <w:rPr>
          <w:rFonts w:hint="eastAsia" w:ascii="方正楷体_GBK" w:hAnsi="方正楷体_GBK" w:eastAsia="方正楷体_GBK" w:cs="方正楷体_GBK"/>
          <w:bCs/>
          <w:color w:val="auto"/>
          <w:kern w:val="2"/>
          <w:sz w:val="32"/>
          <w:szCs w:val="32"/>
        </w:rPr>
        <w:t>（</w:t>
      </w:r>
      <w:r>
        <w:rPr>
          <w:rFonts w:hint="eastAsia" w:ascii="方正楷体_GBK" w:hAnsi="方正楷体_GBK" w:eastAsia="方正楷体_GBK" w:cs="方正楷体_GBK"/>
          <w:bCs/>
          <w:color w:val="auto"/>
          <w:kern w:val="2"/>
          <w:sz w:val="32"/>
          <w:szCs w:val="32"/>
          <w:shd w:val="clear" w:color="auto" w:fill="FFFFFF"/>
        </w:rPr>
        <w:t>三）着力产业培育，引培企业急需人才</w:t>
      </w:r>
      <w:bookmarkEnd w:id="78"/>
    </w:p>
    <w:p>
      <w:pPr>
        <w:autoSpaceDE w:val="0"/>
        <w:autoSpaceDN w:val="0"/>
        <w:spacing w:line="560" w:lineRule="exact"/>
        <w:ind w:right="0"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灌云县是全球内衣制造重要的产业基地，新能源、高端制造高端化工、装备制造、新材料及制品、轻工纺织有良好的产业基础。建议灌云县人才政策围绕“十四五”产业规划，积极引培产业急需人才。将人才资金与产业引导资金、科技资金等专项资金整合使用，以项目为导向，利用土地、政府创投资本等条件，鼓励人才到灌云创业创新，鼓励企业与高校、科研院所产学研合作，以产业吸引人才，以产业培育人才，进一步促进灌云县经济高质量发展。</w:t>
      </w:r>
    </w:p>
    <w:p>
      <w:pPr>
        <w:autoSpaceDE w:val="0"/>
        <w:autoSpaceDN w:val="0"/>
        <w:spacing w:line="360" w:lineRule="auto"/>
        <w:ind w:right="560" w:firstLine="600"/>
        <w:rPr>
          <w:rFonts w:ascii="方正仿宋_GBK" w:eastAsia="方正仿宋_GBK" w:cs="仿宋_GB2312" w:hAnsiTheme="minorEastAsia"/>
          <w:kern w:val="0"/>
          <w:sz w:val="30"/>
          <w:szCs w:val="30"/>
        </w:rPr>
      </w:pPr>
    </w:p>
    <w:p>
      <w:pPr>
        <w:autoSpaceDE w:val="0"/>
        <w:autoSpaceDN w:val="0"/>
        <w:spacing w:line="360" w:lineRule="auto"/>
        <w:ind w:right="560" w:firstLine="600"/>
        <w:rPr>
          <w:rFonts w:ascii="方正仿宋_GBK" w:eastAsia="方正仿宋_GBK" w:cs="仿宋_GB2312" w:hAnsiTheme="minorEastAsia"/>
          <w:kern w:val="0"/>
          <w:sz w:val="30"/>
          <w:szCs w:val="30"/>
        </w:rPr>
      </w:pPr>
    </w:p>
    <w:p>
      <w:pPr>
        <w:autoSpaceDE w:val="0"/>
        <w:autoSpaceDN w:val="0"/>
        <w:spacing w:line="360" w:lineRule="auto"/>
        <w:ind w:right="560" w:firstLine="600"/>
        <w:rPr>
          <w:rFonts w:hint="eastAsia" w:ascii="仿宋" w:hAnsi="仿宋" w:eastAsia="仿宋" w:cs="仿宋"/>
          <w:kern w:val="0"/>
          <w:sz w:val="30"/>
          <w:szCs w:val="30"/>
        </w:rPr>
      </w:pPr>
      <w:r>
        <w:rPr>
          <w:rFonts w:hint="eastAsia" w:ascii="仿宋" w:hAnsi="仿宋" w:eastAsia="仿宋" w:cs="仿宋"/>
          <w:kern w:val="0"/>
          <w:sz w:val="30"/>
          <w:szCs w:val="30"/>
        </w:rPr>
        <w:t>附：灌云县人才专项资金绩效评价表。</w:t>
      </w:r>
    </w:p>
    <w:p>
      <w:pPr>
        <w:autoSpaceDE w:val="0"/>
        <w:autoSpaceDN w:val="0"/>
        <w:spacing w:line="360" w:lineRule="auto"/>
        <w:ind w:right="560" w:firstLine="600"/>
        <w:rPr>
          <w:rFonts w:ascii="方正仿宋_GBK" w:eastAsia="方正仿宋_GBK" w:cs="仿宋_GB2312" w:hAnsiTheme="minorEastAsia"/>
          <w:kern w:val="0"/>
          <w:sz w:val="30"/>
          <w:szCs w:val="30"/>
        </w:rPr>
      </w:pPr>
    </w:p>
    <w:p>
      <w:pPr>
        <w:autoSpaceDE w:val="0"/>
        <w:autoSpaceDN w:val="0"/>
        <w:spacing w:line="360" w:lineRule="auto"/>
        <w:ind w:right="560" w:firstLine="600"/>
        <w:rPr>
          <w:rFonts w:ascii="方正仿宋_GBK" w:eastAsia="方正仿宋_GBK" w:cs="仿宋_GB2312" w:hAnsiTheme="minorEastAsia"/>
          <w:kern w:val="0"/>
          <w:sz w:val="30"/>
          <w:szCs w:val="30"/>
        </w:rPr>
      </w:pPr>
    </w:p>
    <w:p>
      <w:pPr>
        <w:autoSpaceDE w:val="0"/>
        <w:autoSpaceDN w:val="0"/>
        <w:spacing w:line="360" w:lineRule="auto"/>
        <w:ind w:right="560" w:firstLine="3300" w:firstLineChars="1100"/>
        <w:rPr>
          <w:rFonts w:ascii="方正仿宋_GBK" w:eastAsia="方正仿宋_GBK" w:cs="仿宋_GB2312" w:hAnsiTheme="minorEastAsia"/>
          <w:kern w:val="0"/>
          <w:sz w:val="30"/>
          <w:szCs w:val="30"/>
        </w:rPr>
      </w:pPr>
      <w:r>
        <w:rPr>
          <w:rFonts w:ascii="方正仿宋_GBK" w:eastAsia="方正仿宋_GBK" w:cs="仿宋_GB2312" w:hAnsiTheme="minorEastAsia"/>
          <w:kern w:val="0"/>
          <w:sz w:val="30"/>
          <w:szCs w:val="30"/>
        </w:rPr>
        <w:t>江苏润华会计师事务所有限公司</w:t>
      </w:r>
    </w:p>
    <w:p>
      <w:pPr>
        <w:autoSpaceDE w:val="0"/>
        <w:autoSpaceDN w:val="0"/>
        <w:spacing w:line="360" w:lineRule="auto"/>
        <w:ind w:right="560" w:firstLine="4500" w:firstLineChars="1500"/>
        <w:rPr>
          <w:rFonts w:ascii="方正仿宋_GBK" w:eastAsia="方正仿宋_GBK" w:cs="仿宋_GB2312" w:hAnsiTheme="minorEastAsia"/>
          <w:kern w:val="0"/>
          <w:sz w:val="30"/>
          <w:szCs w:val="30"/>
        </w:rPr>
      </w:pPr>
      <w:r>
        <w:rPr>
          <w:rFonts w:ascii="方正仿宋_GBK" w:eastAsia="方正仿宋_GBK" w:cs="仿宋_GB2312" w:hAnsiTheme="minorEastAsia"/>
          <w:kern w:val="0"/>
          <w:sz w:val="30"/>
          <w:szCs w:val="30"/>
        </w:rPr>
        <w:t>2020年11月30日</w:t>
      </w:r>
    </w:p>
    <w:sectPr>
      <w:footerReference r:id="rId7" w:type="default"/>
      <w:pgSz w:w="11906" w:h="16838"/>
      <w:pgMar w:top="1644" w:right="1077" w:bottom="1474" w:left="1417" w:header="0" w:footer="850" w:gutter="0"/>
      <w:pgNumType w:start="1"/>
      <w:cols w:space="0" w:num="1"/>
      <w:formProt w:val="0"/>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FABBADA-5006-4002-8121-33977E5950C7}"/>
  </w:font>
  <w:font w:name="Arial">
    <w:panose1 w:val="020B0604020202020204"/>
    <w:charset w:val="01"/>
    <w:family w:val="swiss"/>
    <w:pitch w:val="default"/>
    <w:sig w:usb0="E0002AFF" w:usb1="C0007843" w:usb2="00000009" w:usb3="00000000" w:csb0="400001FF" w:csb1="FFFF0000"/>
    <w:embedRegular r:id="rId2" w:fontKey="{1CE75452-0981-4225-A713-8C1EA36981FA}"/>
  </w:font>
  <w:font w:name="黑体">
    <w:panose1 w:val="02010600030101010101"/>
    <w:charset w:val="86"/>
    <w:family w:val="auto"/>
    <w:pitch w:val="default"/>
    <w:sig w:usb0="800002BF" w:usb1="38CF7CFA" w:usb2="00000016" w:usb3="00000000" w:csb0="00040001" w:csb1="00000000"/>
    <w:embedRegular r:id="rId3" w:fontKey="{043D28B4-5CB9-4AD3-A5E5-FFECFADEAA20}"/>
  </w:font>
  <w:font w:name="Courier New">
    <w:panose1 w:val="02070309020205020404"/>
    <w:charset w:val="01"/>
    <w:family w:val="modern"/>
    <w:pitch w:val="default"/>
    <w:sig w:usb0="E0002AFF" w:usb1="C0007843" w:usb2="00000009" w:usb3="00000000" w:csb0="400001FF" w:csb1="FFFF0000"/>
    <w:embedRegular r:id="rId4" w:fontKey="{8C701D77-262B-44CC-9B53-7DCB1B35A72E}"/>
  </w:font>
  <w:font w:name="Symbol">
    <w:panose1 w:val="05050102010706020507"/>
    <w:charset w:val="02"/>
    <w:family w:val="roman"/>
    <w:pitch w:val="default"/>
    <w:sig w:usb0="00000000" w:usb1="00000000" w:usb2="00000000" w:usb3="00000000" w:csb0="80000000" w:csb1="00000000"/>
    <w:embedRegular r:id="rId5" w:fontKey="{9EFAD0B2-5779-4B34-811B-14BAD09B1D9F}"/>
  </w:font>
  <w:font w:name="Calibri">
    <w:panose1 w:val="020F0502020204030204"/>
    <w:charset w:val="00"/>
    <w:family w:val="swiss"/>
    <w:pitch w:val="default"/>
    <w:sig w:usb0="E10002FF" w:usb1="4000ACFF" w:usb2="00000009" w:usb3="00000000" w:csb0="2000019F" w:csb1="00000000"/>
    <w:embedRegular r:id="rId6" w:fontKey="{9799C5A0-23FF-4B4F-9EAB-FBA888C63981}"/>
  </w:font>
  <w:font w:name="Cambria">
    <w:panose1 w:val="02040503050406030204"/>
    <w:charset w:val="00"/>
    <w:family w:val="roman"/>
    <w:pitch w:val="default"/>
    <w:sig w:usb0="E00002FF" w:usb1="400004FF" w:usb2="00000000" w:usb3="00000000" w:csb0="2000019F" w:csb1="00000000"/>
    <w:embedRegular r:id="rId7" w:fontKey="{50F79C75-8AF1-4879-B479-1B8D17C8333D}"/>
  </w:font>
  <w:font w:name="方正小标宋_GBK">
    <w:panose1 w:val="03000509000000000000"/>
    <w:charset w:val="86"/>
    <w:family w:val="script"/>
    <w:pitch w:val="default"/>
    <w:sig w:usb0="00000001" w:usb1="080E0000" w:usb2="00000000" w:usb3="00000000" w:csb0="00040000" w:csb1="00000000"/>
    <w:embedRegular r:id="rId8" w:fontKey="{54985D97-7133-43D8-AAB7-4D231072CDE7}"/>
  </w:font>
  <w:font w:name="仿宋">
    <w:panose1 w:val="02010609060101010101"/>
    <w:charset w:val="86"/>
    <w:family w:val="modern"/>
    <w:pitch w:val="default"/>
    <w:sig w:usb0="800002BF" w:usb1="38CF7CFA" w:usb2="00000016" w:usb3="00000000" w:csb0="00040001" w:csb1="00000000"/>
    <w:embedRegular r:id="rId9" w:fontKey="{26D2B014-2C8F-45FB-A80C-7CE18A7CF8F7}"/>
  </w:font>
  <w:font w:name="方正仿宋_GBK">
    <w:panose1 w:val="03000509000000000000"/>
    <w:charset w:val="86"/>
    <w:family w:val="script"/>
    <w:pitch w:val="default"/>
    <w:sig w:usb0="00000001" w:usb1="080E0000" w:usb2="00000000" w:usb3="00000000" w:csb0="00040000" w:csb1="00000000"/>
    <w:embedRegular r:id="rId10" w:fontKey="{67E3E193-2D16-449F-B65A-560995521D00}"/>
  </w:font>
  <w:font w:name="方正小标宋简体">
    <w:panose1 w:val="03000509000000000000"/>
    <w:charset w:val="86"/>
    <w:family w:val="script"/>
    <w:pitch w:val="default"/>
    <w:sig w:usb0="00000001" w:usb1="080E0000" w:usb2="00000000" w:usb3="00000000" w:csb0="00040000" w:csb1="00000000"/>
    <w:embedRegular r:id="rId11" w:fontKey="{48B94DD3-64D2-4633-93A2-8158FFE90CC2}"/>
  </w:font>
  <w:font w:name="方正黑体_GBK">
    <w:panose1 w:val="03000509000000000000"/>
    <w:charset w:val="86"/>
    <w:family w:val="auto"/>
    <w:pitch w:val="default"/>
    <w:sig w:usb0="00000001" w:usb1="080E0000" w:usb2="00000000" w:usb3="00000000" w:csb0="00040000" w:csb1="00000000"/>
    <w:embedRegular r:id="rId12" w:fontKey="{2F1ACBD8-1F67-4362-8CDC-B1CC848A919E}"/>
  </w:font>
  <w:font w:name="方正楷体_GBK">
    <w:panose1 w:val="03000509000000000000"/>
    <w:charset w:val="86"/>
    <w:family w:val="auto"/>
    <w:pitch w:val="default"/>
    <w:sig w:usb0="00000001" w:usb1="080E0000" w:usb2="00000000" w:usb3="00000000" w:csb0="00040000" w:csb1="00000000"/>
    <w:embedRegular r:id="rId13" w:fontKey="{B46BBFE4-F28F-48D0-AFA4-3DAB01847E54}"/>
  </w:font>
  <w:font w:name="新宋体">
    <w:panose1 w:val="02010609030101010101"/>
    <w:charset w:val="86"/>
    <w:family w:val="modern"/>
    <w:pitch w:val="default"/>
    <w:sig w:usb0="00000003" w:usb1="288F0000" w:usb2="00000006" w:usb3="00000000" w:csb0="00040001" w:csb1="00000000"/>
    <w:embedRegular r:id="rId14" w:fontKey="{5B4959D6-0951-4A09-9389-873EE456DEEF}"/>
  </w:font>
  <w:font w:name="仿宋_GB2312">
    <w:panose1 w:val="02010609030101010101"/>
    <w:charset w:val="86"/>
    <w:family w:val="modern"/>
    <w:pitch w:val="default"/>
    <w:sig w:usb0="00000001" w:usb1="080E0000" w:usb2="00000000" w:usb3="00000000" w:csb0="00040000" w:csb1="00000000"/>
    <w:embedRegular r:id="rId15" w:fontKey="{6FE3F604-8567-4B1A-8B9E-E738F4143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8795403"/>
      <w:docPartObj>
        <w:docPartGallery w:val="autotext"/>
      </w:docPartObj>
    </w:sdtPr>
    <w:sdtContent>
      <w:p>
        <w:pPr>
          <w:pStyle w:val="10"/>
          <w:jc w:val="center"/>
        </w:pPr>
        <w:r>
          <w:rPr>
            <w:sz w:val="24"/>
            <w:szCs w:val="24"/>
          </w:rPr>
          <w:fldChar w:fldCharType="begin"/>
        </w:r>
        <w:r>
          <w:rPr>
            <w:sz w:val="24"/>
            <w:szCs w:val="24"/>
          </w:rPr>
          <w:instrText xml:space="preserve">PAGE</w:instrText>
        </w:r>
        <w:r>
          <w:rPr>
            <w:sz w:val="24"/>
            <w:szCs w:val="24"/>
          </w:rPr>
          <w:fldChar w:fldCharType="separate"/>
        </w:r>
        <w:r>
          <w:rPr>
            <w:sz w:val="24"/>
            <w:szCs w:val="24"/>
          </w:rPr>
          <w:t>1</w:t>
        </w:r>
        <w:r>
          <w:rPr>
            <w:sz w:val="24"/>
            <w:szCs w:val="24"/>
          </w:rP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5B259E"/>
    <w:multiLevelType w:val="singleLevel"/>
    <w:tmpl w:val="275B259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hideGrammaticalErrors/>
  <w:documentProtection w:enforcement="0"/>
  <w:defaultTabStop w:val="420"/>
  <w:autoHyphenation/>
  <w:displayHorizontalDrawingGridEvery w:val="1"/>
  <w:displayVerticalDrawingGridEvery w:val="1"/>
  <w:noPunctuationKerning w:val="1"/>
  <w:characterSpacingControl w:val="doNotCompress"/>
  <w:compat>
    <w:balanceSingleByteDoubleByteWidth/>
    <w:doNotExpandShiftReturn/>
    <w:doNotWrapTextWithPunct/>
    <w:doNotUseEastAsianBreakRules/>
    <w:useFELayout/>
    <w:doNotUseIndentAsNumberingTabStop/>
    <w:useAltKinsokuLineBreakRules/>
    <w:compatSetting w:name="compatibilityMode" w:uri="http://schemas.microsoft.com/office/word" w:val="12"/>
  </w:compat>
  <w:rsids>
    <w:rsidRoot w:val="00F06DF9"/>
    <w:rsid w:val="00031E3D"/>
    <w:rsid w:val="00050079"/>
    <w:rsid w:val="000C5B05"/>
    <w:rsid w:val="001A5389"/>
    <w:rsid w:val="001A5A2C"/>
    <w:rsid w:val="002C0D1B"/>
    <w:rsid w:val="003038EE"/>
    <w:rsid w:val="00356F38"/>
    <w:rsid w:val="003662D3"/>
    <w:rsid w:val="00373073"/>
    <w:rsid w:val="003A7DE2"/>
    <w:rsid w:val="003D1CBE"/>
    <w:rsid w:val="003D7DD9"/>
    <w:rsid w:val="003E31B1"/>
    <w:rsid w:val="0041239B"/>
    <w:rsid w:val="004170F5"/>
    <w:rsid w:val="004210B6"/>
    <w:rsid w:val="00454C1F"/>
    <w:rsid w:val="00462F08"/>
    <w:rsid w:val="004A529B"/>
    <w:rsid w:val="004C0661"/>
    <w:rsid w:val="0060659F"/>
    <w:rsid w:val="00650D20"/>
    <w:rsid w:val="00697B61"/>
    <w:rsid w:val="006B567B"/>
    <w:rsid w:val="006F7239"/>
    <w:rsid w:val="0073564D"/>
    <w:rsid w:val="007368CC"/>
    <w:rsid w:val="00847715"/>
    <w:rsid w:val="008A0ACD"/>
    <w:rsid w:val="008F0BD6"/>
    <w:rsid w:val="00A216EC"/>
    <w:rsid w:val="00A50C88"/>
    <w:rsid w:val="00AD3DFF"/>
    <w:rsid w:val="00AE07BD"/>
    <w:rsid w:val="00B07AEB"/>
    <w:rsid w:val="00B206BD"/>
    <w:rsid w:val="00B76358"/>
    <w:rsid w:val="00B82076"/>
    <w:rsid w:val="00BA1D04"/>
    <w:rsid w:val="00BB5C7B"/>
    <w:rsid w:val="00C076BD"/>
    <w:rsid w:val="00C56E33"/>
    <w:rsid w:val="00C949F7"/>
    <w:rsid w:val="00D70882"/>
    <w:rsid w:val="00D731B6"/>
    <w:rsid w:val="00DA6160"/>
    <w:rsid w:val="00E12124"/>
    <w:rsid w:val="00E27ABE"/>
    <w:rsid w:val="00EA4616"/>
    <w:rsid w:val="00EE16C0"/>
    <w:rsid w:val="00EE4EEC"/>
    <w:rsid w:val="00F06DF9"/>
    <w:rsid w:val="00F742F7"/>
    <w:rsid w:val="00FA15A2"/>
    <w:rsid w:val="00FD3291"/>
    <w:rsid w:val="09F05E58"/>
    <w:rsid w:val="2A00443F"/>
    <w:rsid w:val="2CB900D8"/>
    <w:rsid w:val="310D0BC3"/>
    <w:rsid w:val="5317577C"/>
    <w:rsid w:val="590453D3"/>
    <w:rsid w:val="5A45242E"/>
    <w:rsid w:val="5A7605D8"/>
    <w:rsid w:val="5CF56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sz w:val="44"/>
      <w:szCs w:val="44"/>
    </w:rPr>
  </w:style>
  <w:style w:type="paragraph" w:styleId="3">
    <w:name w:val="heading 2"/>
    <w:basedOn w:val="1"/>
    <w:next w:val="1"/>
    <w:unhideWhenUsed/>
    <w:qFormat/>
    <w:uiPriority w:val="9"/>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5" w:lineRule="auto"/>
      <w:outlineLvl w:val="2"/>
    </w:pPr>
    <w:rPr>
      <w:b/>
      <w:bCs/>
      <w:sz w:val="32"/>
      <w:szCs w:val="32"/>
    </w:rPr>
  </w:style>
  <w:style w:type="paragraph" w:styleId="5">
    <w:name w:val="heading 4"/>
    <w:basedOn w:val="1"/>
    <w:next w:val="1"/>
    <w:unhideWhenUsed/>
    <w:qFormat/>
    <w:uiPriority w:val="9"/>
    <w:pPr>
      <w:keepNext/>
      <w:keepLines/>
      <w:spacing w:before="280" w:after="290" w:line="374"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560"/>
    </w:pPr>
    <w:rPr>
      <w:rFonts w:ascii="Times New Roman" w:hAnsi="Times New Roman" w:eastAsia="宋体" w:cs="Times New Roman"/>
      <w:sz w:val="28"/>
      <w:szCs w:val="24"/>
    </w:rPr>
  </w:style>
  <w:style w:type="paragraph" w:styleId="7">
    <w:name w:val="annotation text"/>
    <w:basedOn w:val="1"/>
    <w:link w:val="22"/>
    <w:semiHidden/>
    <w:unhideWhenUsed/>
    <w:qFormat/>
    <w:uiPriority w:val="99"/>
    <w:pPr>
      <w:jc w:val="left"/>
    </w:pPr>
  </w:style>
  <w:style w:type="paragraph" w:styleId="8">
    <w:name w:val="toc 3"/>
    <w:basedOn w:val="1"/>
    <w:next w:val="1"/>
    <w:unhideWhenUsed/>
    <w:qFormat/>
    <w:uiPriority w:val="39"/>
    <w:pPr>
      <w:tabs>
        <w:tab w:val="right" w:leader="dot" w:pos="8296"/>
      </w:tabs>
      <w:ind w:left="840"/>
      <w:jc w:val="center"/>
    </w:pPr>
  </w:style>
  <w:style w:type="paragraph" w:styleId="9">
    <w:name w:val="Balloon Text"/>
    <w:basedOn w:val="1"/>
    <w:link w:val="24"/>
    <w:semiHidden/>
    <w:unhideWhenUsed/>
    <w:qFormat/>
    <w:uiPriority w:val="99"/>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p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FollowedHyperlink"/>
    <w:basedOn w:val="16"/>
    <w:semiHidden/>
    <w:unhideWhenUsed/>
    <w:qFormat/>
    <w:uiPriority w:val="99"/>
    <w:rPr>
      <w:color w:val="800080"/>
      <w:u w:val="none"/>
    </w:rPr>
  </w:style>
  <w:style w:type="character" w:styleId="18">
    <w:name w:val="Hyperlink"/>
    <w:basedOn w:val="16"/>
    <w:unhideWhenUsed/>
    <w:qFormat/>
    <w:uiPriority w:val="99"/>
    <w:rPr>
      <w:color w:val="0000FF" w:themeColor="hyperlink"/>
      <w:u w:val="single"/>
    </w:rPr>
  </w:style>
  <w:style w:type="character" w:styleId="19">
    <w:name w:val="annotation reference"/>
    <w:basedOn w:val="16"/>
    <w:semiHidden/>
    <w:unhideWhenUsed/>
    <w:qFormat/>
    <w:uiPriority w:val="99"/>
    <w:rPr>
      <w:sz w:val="21"/>
      <w:szCs w:val="21"/>
    </w:rPr>
  </w:style>
  <w:style w:type="character" w:customStyle="1" w:styleId="20">
    <w:name w:val="索引链接"/>
    <w:basedOn w:val="16"/>
    <w:qFormat/>
    <w:uiPriority w:val="0"/>
  </w:style>
  <w:style w:type="paragraph" w:customStyle="1" w:styleId="21">
    <w:name w:val="TOC 标题1"/>
    <w:basedOn w:val="2"/>
    <w:next w:val="1"/>
    <w:unhideWhenUsed/>
    <w:qFormat/>
    <w:uiPriority w:val="39"/>
    <w:pPr>
      <w:widowControl/>
      <w:spacing w:before="240" w:after="0" w:line="259" w:lineRule="auto"/>
      <w:jc w:val="left"/>
    </w:pPr>
    <w:rPr>
      <w:rFonts w:asciiTheme="majorHAnsi" w:hAnsiTheme="majorHAnsi" w:eastAsiaTheme="majorEastAsia" w:cstheme="majorBidi"/>
      <w:b w:val="0"/>
      <w:bCs w:val="0"/>
      <w:color w:val="366091" w:themeColor="accent1" w:themeShade="BF"/>
      <w:kern w:val="0"/>
      <w:sz w:val="32"/>
      <w:szCs w:val="32"/>
    </w:rPr>
  </w:style>
  <w:style w:type="character" w:customStyle="1" w:styleId="22">
    <w:name w:val="批注文字 Char"/>
    <w:basedOn w:val="16"/>
    <w:link w:val="7"/>
    <w:semiHidden/>
    <w:qFormat/>
    <w:uiPriority w:val="99"/>
    <w:rPr>
      <w:kern w:val="2"/>
      <w:sz w:val="21"/>
      <w:szCs w:val="22"/>
      <w:lang w:bidi="ar-SA"/>
    </w:rPr>
  </w:style>
  <w:style w:type="character" w:customStyle="1" w:styleId="23">
    <w:name w:val="页眉 Char"/>
    <w:basedOn w:val="16"/>
    <w:link w:val="11"/>
    <w:qFormat/>
    <w:uiPriority w:val="99"/>
    <w:rPr>
      <w:kern w:val="2"/>
      <w:sz w:val="18"/>
      <w:szCs w:val="18"/>
      <w:lang w:bidi="ar-SA"/>
    </w:rPr>
  </w:style>
  <w:style w:type="character" w:customStyle="1" w:styleId="24">
    <w:name w:val="批注框文本 Char"/>
    <w:basedOn w:val="16"/>
    <w:link w:val="9"/>
    <w:semiHidden/>
    <w:qFormat/>
    <w:uiPriority w:val="99"/>
    <w:rPr>
      <w:kern w:val="2"/>
      <w:sz w:val="18"/>
      <w:szCs w:val="18"/>
      <w:lang w:bidi="ar-SA"/>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F45ED-1E89-4573-9627-C2A77C89E47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2310</Words>
  <Characters>13170</Characters>
  <Lines>109</Lines>
  <Paragraphs>30</Paragraphs>
  <TotalTime>1</TotalTime>
  <ScaleCrop>false</ScaleCrop>
  <LinksUpToDate>false</LinksUpToDate>
  <CharactersWithSpaces>15450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2021-06-12T10:40:00Z</dcterms:created>
  <dc:creator>Administrator</dc:creator>
  <cp:lastModifiedBy>darkblood</cp:lastModifiedBy>
  <cp:lastPrinted>2021-06-24T03:09:31Z</cp:lastPrinted>
  <dcterms:modified xsi:type="dcterms:W3CDTF">2021-06-24T03:12:56Z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E6466FF892584F1B912F16278A0190E0</vt:lpwstr>
  </property>
  <property fmtid="{D5CDD505-2E9C-101B-9397-08002B2CF9AE}" pid="3" name="KSOProductBuildVer">
    <vt:lpwstr>2052-11.1.0.10578</vt:lpwstr>
  </property>
  <property fmtid="{D5CDD505-2E9C-101B-9397-08002B2CF9AE}" pid="4" name="KSOSaveFontToCloudKey">
    <vt:lpwstr>519838668_embed</vt:lpwstr>
  </property>
</Properties>
</file>